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8262026_100823.xml.htm"/>
      <w:bookmarkStart w:id="1" w:name="ksform4a08262026_1008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MATHENY DRUE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CANTRELL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DILLARD'S, INC.</w:t>
              </w:r>
            </w:hyperlink>
            <w:r>
              <w:rPr/>
              <w:t xml:space="preserve"> [ </w:t>
            </w:r>
            <w:r>
              <w:rPr>
                <w:rFonts w:ascii="Times;serif" w:hAnsi="Times;serif"/>
                <w:color w:val="0000FF"/>
                <w:sz w:val="24"/>
                <w:shd w:fill="FFFFFF" w:val="clear"/>
              </w:rPr>
              <w:t>DDS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12/17/2025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12/19/2025</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4"/>
        <w:gridCol w:w="773"/>
        <w:gridCol w:w="600"/>
        <w:gridCol w:w="349"/>
        <w:gridCol w:w="889"/>
        <w:gridCol w:w="455"/>
        <w:gridCol w:w="617"/>
        <w:gridCol w:w="1164"/>
        <w:gridCol w:w="999"/>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Class A</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(1)</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December 19, 2025, the reporting person filed a Form 4 reporting the disposition of 3,000 shares by gift. That filing inadvertently omitted the simultaneous acquisition of indirect beneficial ownership of 1,000 of those shares, which are held by the reporting person's spouse. As reported in this amendment, the reporting person's spouse received 1,000 shares pursuant to the gift transfer, resulting in a corresponding increase of 1,000 shares in the reporting person's indirect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reported represents shares of Issuer Class A Common Stock held by the reporting person's spouse.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Drue Matheny By: Julie Guymon,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0017" TargetMode="External"/><Relationship Id="rId5" Type="http://schemas.openxmlformats.org/officeDocument/2006/relationships/hyperlink" Target="http://www.sec.gov/cgi-bin/browse-edgar?action=getcompany&amp;CIK=00000289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3625</Characters>
  <CharactersWithSpaces>4218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