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tm2625597d1_8k.htm"/>
      <w:bookmarkStart w:id="1" w:name="kstm2625597d1_8k"/>
      <w:bookmarkEnd w:id="0"/>
      <w:bookmarkEnd w:id="1"/>
      <w:r>
        <w:rPr>
          <w:bdr w:val="single" w:sz="16"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C_edei--DocumentType_c20260917__20"/>
      <w:bookmarkEnd w:id="2"/>
      <w:r>
        <w:rPr>
          <w:rFonts w:ascii="Times New Roman;Times;Serif" w:hAnsi="Times New Roman;Times;Serif"/>
          <w:b/>
          <w:i w:val="false"/>
          <w:caps w:val="false"/>
          <w:smallCaps w:val="false"/>
          <w:sz w:val="28"/>
        </w:rPr>
        <w:t>8-K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 of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 </w:t>
      </w:r>
      <w:bookmarkStart w:id="3" w:name="xdx_901_edei--DocumentPeriodEndDate_c202"/>
      <w:bookmarkEnd w:id="3"/>
      <w:r>
        <w:rPr>
          <w:rFonts w:ascii="Times New Roman;Times;Serif" w:hAnsi="Times New Roman;Times;Serif"/>
          <w:b w:val="false"/>
          <w:i w:val="false"/>
          <w:caps w:val="false"/>
          <w:smallCaps w:val="false"/>
          <w:sz w:val="20"/>
        </w:rPr>
        <w:t>September 17, 2026</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6126" w:type="dxa"/>
        <w:jc w:val="left"/>
        <w:tblInd w:w="0" w:type="dxa"/>
        <w:tblLayout w:type="fixed"/>
        <w:tblCellMar>
          <w:top w:w="0" w:type="dxa"/>
          <w:left w:w="0" w:type="dxa"/>
          <w:bottom w:w="28" w:type="dxa"/>
          <w:right w:w="0" w:type="dxa"/>
        </w:tblCellMar>
      </w:tblPr>
      <w:tblGrid>
        <w:gridCol w:w="164"/>
        <w:gridCol w:w="3050"/>
        <w:gridCol w:w="1378"/>
        <w:gridCol w:w="1456"/>
        <w:gridCol w:w="78"/>
      </w:tblGrid>
      <w:tr>
        <w:trPr/>
        <w:tc>
          <w:tcPr>
            <w:tcW w:w="164" w:type="dxa"/>
            <w:tcBorders>
              <w:bottom w:val="single" w:sz="8" w:space="0" w:color="000000"/>
            </w:tcBorders>
            <w:vAlign w:val="center"/>
          </w:tcPr>
          <w:p>
            <w:pPr>
              <w:pStyle w:val="TableContents"/>
              <w:bidi w:val="0"/>
              <w:spacing w:before="0" w:after="283"/>
              <w:jc w:val="center"/>
              <w:rPr/>
            </w:pPr>
            <w:r>
              <w:rPr/>
              <w:t> </w:t>
            </w:r>
          </w:p>
        </w:tc>
        <w:tc>
          <w:tcPr>
            <w:tcW w:w="5884" w:type="dxa"/>
            <w:gridSpan w:val="3"/>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4" w:name="xdx_902_edei--EntityRegistrantName_c2026"/>
            <w:bookmarkEnd w:id="4"/>
            <w:r>
              <w:rPr>
                <w:rFonts w:ascii="Times New Roman;Times;Serif" w:hAnsi="Times New Roman;Times;Serif"/>
                <w:b/>
                <w:i w:val="false"/>
                <w:caps w:val="false"/>
                <w:smallCaps w:val="false"/>
                <w:sz w:val="20"/>
              </w:rPr>
              <w:t>Dillard’s, Inc.</w:t>
            </w:r>
          </w:p>
        </w:tc>
        <w:tc>
          <w:tcPr>
            <w:tcW w:w="78" w:type="dxa"/>
            <w:tcBorders>
              <w:bottom w:val="single" w:sz="8" w:space="0" w:color="000000"/>
            </w:tcBorders>
            <w:vAlign w:val="center"/>
          </w:tcPr>
          <w:p>
            <w:pPr>
              <w:pStyle w:val="TableContents"/>
              <w:bidi w:val="0"/>
              <w:spacing w:before="0" w:after="283"/>
              <w:jc w:val="center"/>
              <w:rPr/>
            </w:pPr>
            <w:r>
              <w:rPr/>
              <w:t> </w:t>
            </w:r>
          </w:p>
        </w:tc>
      </w:tr>
      <w:tr>
        <w:trPr/>
        <w:tc>
          <w:tcPr>
            <w:tcW w:w="164" w:type="dxa"/>
            <w:tcBorders/>
            <w:tcMar>
              <w:bottom w:w="0" w:type="dxa"/>
            </w:tcMar>
            <w:vAlign w:val="center"/>
          </w:tcPr>
          <w:p>
            <w:pPr>
              <w:pStyle w:val="TableContents"/>
              <w:bidi w:val="0"/>
              <w:spacing w:before="0" w:after="283"/>
              <w:jc w:val="center"/>
              <w:rPr/>
            </w:pPr>
            <w:r>
              <w:rPr/>
              <w:t> </w:t>
            </w:r>
          </w:p>
        </w:tc>
        <w:tc>
          <w:tcPr>
            <w:tcW w:w="5884" w:type="dxa"/>
            <w:gridSpan w:val="3"/>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tc>
        <w:tc>
          <w:tcPr>
            <w:tcW w:w="78" w:type="dxa"/>
            <w:tcBorders/>
            <w:tcMar>
              <w:bottom w:w="0" w:type="dxa"/>
            </w:tcMar>
            <w:vAlign w:val="center"/>
          </w:tcPr>
          <w:p>
            <w:pPr>
              <w:pStyle w:val="TableContents"/>
              <w:bidi w:val="0"/>
              <w:spacing w:before="0" w:after="283"/>
              <w:jc w:val="center"/>
              <w:rPr/>
            </w:pPr>
            <w:r>
              <w:rPr/>
              <w:t> </w:t>
            </w:r>
          </w:p>
        </w:tc>
      </w:tr>
      <w:tr>
        <w:trPr/>
        <w:tc>
          <w:tcPr>
            <w:tcW w:w="164" w:type="dxa"/>
            <w:tcBorders/>
            <w:tcMar>
              <w:bottom w:w="0" w:type="dxa"/>
            </w:tcMar>
            <w:vAlign w:val="center"/>
          </w:tcPr>
          <w:p>
            <w:pPr>
              <w:pStyle w:val="TableContents"/>
              <w:bidi w:val="0"/>
              <w:spacing w:before="0" w:after="283"/>
              <w:jc w:val="center"/>
              <w:rPr/>
            </w:pPr>
            <w:r>
              <w:rPr/>
              <w:t> </w:t>
            </w:r>
          </w:p>
        </w:tc>
        <w:tc>
          <w:tcPr>
            <w:tcW w:w="5884" w:type="dxa"/>
            <w:gridSpan w:val="3"/>
            <w:tcBorders/>
            <w:tcMar>
              <w:bottom w:w="0" w:type="dxa"/>
            </w:tcMar>
            <w:vAlign w:val="center"/>
          </w:tcPr>
          <w:p>
            <w:pPr>
              <w:pStyle w:val="TableContents"/>
              <w:bidi w:val="0"/>
              <w:spacing w:before="0" w:after="283"/>
              <w:jc w:val="center"/>
              <w:rPr/>
            </w:pPr>
            <w:r>
              <w:rPr/>
              <w:t> </w:t>
            </w:r>
          </w:p>
        </w:tc>
        <w:tc>
          <w:tcPr>
            <w:tcW w:w="78" w:type="dxa"/>
            <w:tcBorders/>
            <w:tcMar>
              <w:bottom w:w="0" w:type="dxa"/>
            </w:tcMar>
            <w:vAlign w:val="center"/>
          </w:tcPr>
          <w:p>
            <w:pPr>
              <w:pStyle w:val="TableContents"/>
              <w:bidi w:val="0"/>
              <w:spacing w:before="0" w:after="283"/>
              <w:jc w:val="center"/>
              <w:rPr/>
            </w:pPr>
            <w:r>
              <w:rPr/>
              <w:t> </w:t>
            </w:r>
          </w:p>
        </w:tc>
      </w:tr>
      <w:tr>
        <w:trPr/>
        <w:tc>
          <w:tcPr>
            <w:tcW w:w="164" w:type="dxa"/>
            <w:tcBorders>
              <w:bottom w:val="single" w:sz="8" w:space="0" w:color="000000"/>
            </w:tcBorders>
            <w:vAlign w:val="center"/>
          </w:tcPr>
          <w:p>
            <w:pPr>
              <w:pStyle w:val="TableContents"/>
              <w:bidi w:val="0"/>
              <w:spacing w:before="0" w:after="283"/>
              <w:jc w:val="center"/>
              <w:rPr/>
            </w:pPr>
            <w:r>
              <w:rPr/>
              <w:t> </w:t>
            </w:r>
          </w:p>
        </w:tc>
        <w:tc>
          <w:tcPr>
            <w:tcW w:w="5884" w:type="dxa"/>
            <w:gridSpan w:val="3"/>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6_edei--EntityIncorporationStateCo"/>
            <w:bookmarkEnd w:id="5"/>
            <w:r>
              <w:rPr>
                <w:rFonts w:ascii="Times New Roman;Times;Serif" w:hAnsi="Times New Roman;Times;Serif"/>
                <w:b/>
                <w:i w:val="false"/>
                <w:caps w:val="false"/>
                <w:smallCaps w:val="false"/>
                <w:sz w:val="20"/>
              </w:rPr>
              <w:t>Texas</w:t>
            </w:r>
          </w:p>
        </w:tc>
        <w:tc>
          <w:tcPr>
            <w:tcW w:w="78" w:type="dxa"/>
            <w:tcBorders>
              <w:bottom w:val="single" w:sz="8" w:space="0" w:color="000000"/>
            </w:tcBorders>
            <w:vAlign w:val="center"/>
          </w:tcPr>
          <w:p>
            <w:pPr>
              <w:pStyle w:val="TableContents"/>
              <w:bidi w:val="0"/>
              <w:spacing w:before="0" w:after="283"/>
              <w:jc w:val="center"/>
              <w:rPr/>
            </w:pPr>
            <w:r>
              <w:rPr/>
              <w:t> </w:t>
            </w:r>
          </w:p>
        </w:tc>
      </w:tr>
      <w:tr>
        <w:trPr/>
        <w:tc>
          <w:tcPr>
            <w:tcW w:w="164" w:type="dxa"/>
            <w:tcBorders/>
            <w:tcMar>
              <w:bottom w:w="0" w:type="dxa"/>
            </w:tcMar>
            <w:vAlign w:val="center"/>
          </w:tcPr>
          <w:p>
            <w:pPr>
              <w:pStyle w:val="TableContents"/>
              <w:bidi w:val="0"/>
              <w:spacing w:before="0" w:after="283"/>
              <w:jc w:val="center"/>
              <w:rPr/>
            </w:pPr>
            <w:r>
              <w:rPr/>
              <w:t> </w:t>
            </w:r>
          </w:p>
        </w:tc>
        <w:tc>
          <w:tcPr>
            <w:tcW w:w="5884" w:type="dxa"/>
            <w:gridSpan w:val="3"/>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tc>
        <w:tc>
          <w:tcPr>
            <w:tcW w:w="78" w:type="dxa"/>
            <w:tcBorders/>
            <w:tcMar>
              <w:bottom w:w="0" w:type="dxa"/>
            </w:tcMar>
            <w:vAlign w:val="center"/>
          </w:tcPr>
          <w:p>
            <w:pPr>
              <w:pStyle w:val="TableContents"/>
              <w:bidi w:val="0"/>
              <w:spacing w:before="0" w:after="283"/>
              <w:jc w:val="center"/>
              <w:rPr/>
            </w:pPr>
            <w:r>
              <w:rPr/>
              <w:t> </w:t>
            </w:r>
          </w:p>
        </w:tc>
      </w:tr>
      <w:tr>
        <w:trPr/>
        <w:tc>
          <w:tcPr>
            <w:tcW w:w="164" w:type="dxa"/>
            <w:tcBorders/>
            <w:tcMar>
              <w:bottom w:w="0" w:type="dxa"/>
            </w:tcMar>
            <w:vAlign w:val="center"/>
          </w:tcPr>
          <w:p>
            <w:pPr>
              <w:pStyle w:val="TableContents"/>
              <w:bidi w:val="0"/>
              <w:spacing w:before="0" w:after="283"/>
              <w:jc w:val="center"/>
              <w:rPr/>
            </w:pPr>
            <w:r>
              <w:rPr/>
              <w:t> </w:t>
            </w:r>
          </w:p>
        </w:tc>
        <w:tc>
          <w:tcPr>
            <w:tcW w:w="5884" w:type="dxa"/>
            <w:gridSpan w:val="3"/>
            <w:tcBorders/>
            <w:tcMar>
              <w:bottom w:w="0" w:type="dxa"/>
            </w:tcMar>
            <w:vAlign w:val="center"/>
          </w:tcPr>
          <w:p>
            <w:pPr>
              <w:pStyle w:val="TableContents"/>
              <w:bidi w:val="0"/>
              <w:spacing w:before="0" w:after="283"/>
              <w:jc w:val="center"/>
              <w:rPr/>
            </w:pPr>
            <w:r>
              <w:rPr/>
              <w:t> </w:t>
            </w:r>
          </w:p>
        </w:tc>
        <w:tc>
          <w:tcPr>
            <w:tcW w:w="78" w:type="dxa"/>
            <w:tcBorders/>
            <w:tcMar>
              <w:bottom w:w="0" w:type="dxa"/>
            </w:tcMar>
            <w:vAlign w:val="center"/>
          </w:tcPr>
          <w:p>
            <w:pPr>
              <w:pStyle w:val="TableContents"/>
              <w:bidi w:val="0"/>
              <w:spacing w:before="0" w:after="283"/>
              <w:jc w:val="center"/>
              <w:rPr/>
            </w:pPr>
            <w:r>
              <w:rPr/>
              <w:t> </w:t>
            </w:r>
          </w:p>
        </w:tc>
      </w:tr>
      <w:tr>
        <w:trPr/>
        <w:tc>
          <w:tcPr>
            <w:tcW w:w="32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5_edei--EntityFileNumber_c20260917"/>
            <w:bookmarkEnd w:id="6"/>
            <w:r>
              <w:rPr>
                <w:rFonts w:ascii="Times New Roman;Times;Serif" w:hAnsi="Times New Roman;Times;Serif"/>
                <w:b/>
                <w:i w:val="false"/>
                <w:caps w:val="false"/>
                <w:smallCaps w:val="false"/>
                <w:sz w:val="20"/>
              </w:rPr>
              <w:t>1-6140</w:t>
            </w:r>
          </w:p>
        </w:tc>
        <w:tc>
          <w:tcPr>
            <w:tcW w:w="1378" w:type="dxa"/>
            <w:tcBorders/>
            <w:tcMar>
              <w:bottom w:w="0" w:type="dxa"/>
            </w:tcMar>
            <w:vAlign w:val="center"/>
          </w:tcPr>
          <w:p>
            <w:pPr>
              <w:pStyle w:val="TableContents"/>
              <w:bidi w:val="0"/>
              <w:spacing w:before="0" w:after="283"/>
              <w:jc w:val="center"/>
              <w:rPr/>
            </w:pPr>
            <w:r>
              <w:rPr/>
              <w:t> </w:t>
            </w:r>
          </w:p>
        </w:tc>
        <w:tc>
          <w:tcPr>
            <w:tcW w:w="153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F_edei--EntityTaxIdentificationNum"/>
            <w:bookmarkEnd w:id="7"/>
            <w:r>
              <w:rPr>
                <w:rFonts w:ascii="Times New Roman;Times;Serif" w:hAnsi="Times New Roman;Times;Serif"/>
                <w:b/>
                <w:i w:val="false"/>
                <w:caps w:val="false"/>
                <w:smallCaps w:val="false"/>
                <w:sz w:val="20"/>
              </w:rPr>
              <w:t>71-0388071</w:t>
            </w:r>
          </w:p>
        </w:tc>
      </w:tr>
      <w:tr>
        <w:trPr/>
        <w:tc>
          <w:tcPr>
            <w:tcW w:w="3214" w:type="dxa"/>
            <w:gridSpan w:val="2"/>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1378" w:type="dxa"/>
            <w:tcBorders/>
            <w:tcMar>
              <w:bottom w:w="0" w:type="dxa"/>
            </w:tcMar>
            <w:vAlign w:val="center"/>
          </w:tcPr>
          <w:p>
            <w:pPr>
              <w:pStyle w:val="TableContents"/>
              <w:bidi w:val="0"/>
              <w:spacing w:before="0" w:after="283"/>
              <w:jc w:val="center"/>
              <w:rPr/>
            </w:pPr>
            <w:r>
              <w:rPr/>
              <w:t> </w:t>
            </w:r>
          </w:p>
        </w:tc>
        <w:tc>
          <w:tcPr>
            <w:tcW w:w="1534" w:type="dxa"/>
            <w:gridSpan w:val="2"/>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r>
        <w:trPr/>
        <w:tc>
          <w:tcPr>
            <w:tcW w:w="3214" w:type="dxa"/>
            <w:gridSpan w:val="2"/>
            <w:tcBorders/>
            <w:tcMar>
              <w:bottom w:w="0" w:type="dxa"/>
            </w:tcMar>
            <w:vAlign w:val="center"/>
          </w:tcPr>
          <w:p>
            <w:pPr>
              <w:pStyle w:val="TableContents"/>
              <w:bidi w:val="0"/>
              <w:spacing w:before="0" w:after="283"/>
              <w:jc w:val="center"/>
              <w:rPr/>
            </w:pPr>
            <w:r>
              <w:rPr/>
              <w:t> </w:t>
            </w:r>
          </w:p>
        </w:tc>
        <w:tc>
          <w:tcPr>
            <w:tcW w:w="1378" w:type="dxa"/>
            <w:tcBorders/>
            <w:tcMar>
              <w:bottom w:w="0" w:type="dxa"/>
            </w:tcMar>
            <w:vAlign w:val="center"/>
          </w:tcPr>
          <w:p>
            <w:pPr>
              <w:pStyle w:val="TableContents"/>
              <w:bidi w:val="0"/>
              <w:spacing w:before="0" w:after="283"/>
              <w:jc w:val="center"/>
              <w:rPr/>
            </w:pPr>
            <w:r>
              <w:rPr/>
              <w:t> </w:t>
            </w:r>
          </w:p>
        </w:tc>
        <w:tc>
          <w:tcPr>
            <w:tcW w:w="1534" w:type="dxa"/>
            <w:gridSpan w:val="2"/>
            <w:tcBorders/>
            <w:tcMar>
              <w:bottom w:w="0" w:type="dxa"/>
            </w:tcMar>
            <w:vAlign w:val="center"/>
          </w:tcPr>
          <w:p>
            <w:pPr>
              <w:pStyle w:val="TableContents"/>
              <w:bidi w:val="0"/>
              <w:spacing w:before="0" w:after="283"/>
              <w:jc w:val="center"/>
              <w:rPr/>
            </w:pPr>
            <w:r>
              <w:rPr/>
              <w:t> </w:t>
            </w:r>
          </w:p>
        </w:tc>
      </w:tr>
      <w:tr>
        <w:trPr/>
        <w:tc>
          <w:tcPr>
            <w:tcW w:w="32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1600 Cantrell Road</w:t>
              <w:br/>
            </w:r>
            <w:bookmarkStart w:id="9" w:name="xdx_90E_edei--EntityAddressCityOrTown_c2"/>
            <w:bookmarkEnd w:id="9"/>
            <w:r>
              <w:rPr>
                <w:rFonts w:ascii="Times New Roman;Times;Serif" w:hAnsi="Times New Roman;Times;Serif"/>
                <w:b/>
                <w:i w:val="false"/>
                <w:caps w:val="false"/>
                <w:smallCaps w:val="false"/>
                <w:sz w:val="20"/>
              </w:rPr>
              <w:t xml:space="preserve">Little Rock, </w:t>
            </w:r>
            <w:bookmarkStart w:id="10" w:name="xdx_90C_edei--EntityAddressStateOrProvin"/>
            <w:bookmarkEnd w:id="10"/>
            <w:r>
              <w:rPr>
                <w:rFonts w:ascii="Times New Roman;Times;Serif" w:hAnsi="Times New Roman;Times;Serif"/>
                <w:b/>
                <w:i w:val="false"/>
                <w:caps w:val="false"/>
                <w:smallCaps w:val="false"/>
                <w:sz w:val="20"/>
              </w:rPr>
              <w:t>Arkansas</w:t>
            </w:r>
          </w:p>
        </w:tc>
        <w:tc>
          <w:tcPr>
            <w:tcW w:w="1378" w:type="dxa"/>
            <w:tcBorders/>
            <w:tcMar>
              <w:bottom w:w="0" w:type="dxa"/>
            </w:tcMar>
            <w:vAlign w:val="center"/>
          </w:tcPr>
          <w:p>
            <w:pPr>
              <w:pStyle w:val="TableContents"/>
              <w:bidi w:val="0"/>
              <w:spacing w:before="0" w:after="283"/>
              <w:jc w:val="center"/>
              <w:rPr/>
            </w:pPr>
            <w:r>
              <w:rPr/>
              <w:t> </w:t>
            </w:r>
          </w:p>
        </w:tc>
        <w:tc>
          <w:tcPr>
            <w:tcW w:w="153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2_edei--EntityAddressPostalZipCode"/>
            <w:bookmarkEnd w:id="11"/>
            <w:r>
              <w:rPr>
                <w:rFonts w:ascii="Times New Roman;Times;Serif" w:hAnsi="Times New Roman;Times;Serif"/>
                <w:b/>
                <w:i w:val="false"/>
                <w:caps w:val="false"/>
                <w:smallCaps w:val="false"/>
                <w:sz w:val="20"/>
              </w:rPr>
              <w:t>72201</w:t>
            </w:r>
          </w:p>
        </w:tc>
      </w:tr>
      <w:tr>
        <w:trPr/>
        <w:tc>
          <w:tcPr>
            <w:tcW w:w="3214" w:type="dxa"/>
            <w:gridSpan w:val="2"/>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1378" w:type="dxa"/>
            <w:tcBorders/>
            <w:tcMar>
              <w:bottom w:w="0" w:type="dxa"/>
            </w:tcMar>
            <w:vAlign w:val="center"/>
          </w:tcPr>
          <w:p>
            <w:pPr>
              <w:pStyle w:val="TableContents"/>
              <w:bidi w:val="0"/>
              <w:spacing w:before="0" w:after="283"/>
              <w:jc w:val="center"/>
              <w:rPr/>
            </w:pPr>
            <w:r>
              <w:rPr/>
              <w:t> </w:t>
            </w:r>
          </w:p>
        </w:tc>
        <w:tc>
          <w:tcPr>
            <w:tcW w:w="1534" w:type="dxa"/>
            <w:gridSpan w:val="2"/>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r>
        <w:trPr/>
        <w:tc>
          <w:tcPr>
            <w:tcW w:w="164" w:type="dxa"/>
            <w:tcBorders/>
            <w:tcMar>
              <w:bottom w:w="0" w:type="dxa"/>
            </w:tcMar>
            <w:vAlign w:val="center"/>
          </w:tcPr>
          <w:p>
            <w:pPr>
              <w:pStyle w:val="TableContents"/>
              <w:bidi w:val="0"/>
              <w:spacing w:before="0" w:after="283"/>
              <w:jc w:val="center"/>
              <w:rPr/>
            </w:pPr>
            <w:r>
              <w:rPr/>
              <w:t> </w:t>
            </w:r>
          </w:p>
        </w:tc>
        <w:tc>
          <w:tcPr>
            <w:tcW w:w="5884" w:type="dxa"/>
            <w:gridSpan w:val="3"/>
            <w:tcBorders/>
            <w:tcMar>
              <w:bottom w:w="0" w:type="dxa"/>
            </w:tcMar>
            <w:vAlign w:val="center"/>
          </w:tcPr>
          <w:p>
            <w:pPr>
              <w:pStyle w:val="TableContents"/>
              <w:bidi w:val="0"/>
              <w:spacing w:before="0" w:after="283"/>
              <w:jc w:val="center"/>
              <w:rPr/>
            </w:pPr>
            <w:r>
              <w:rPr/>
              <w:t> </w:t>
            </w:r>
          </w:p>
        </w:tc>
        <w:tc>
          <w:tcPr>
            <w:tcW w:w="78" w:type="dxa"/>
            <w:tcBorders/>
            <w:tcMar>
              <w:bottom w:w="0" w:type="dxa"/>
            </w:tcMar>
            <w:vAlign w:val="center"/>
          </w:tcPr>
          <w:p>
            <w:pPr>
              <w:pStyle w:val="TableContents"/>
              <w:bidi w:val="0"/>
              <w:spacing w:before="0" w:after="283"/>
              <w:jc w:val="center"/>
              <w:rPr/>
            </w:pPr>
            <w:r>
              <w:rPr/>
              <w:t> </w:t>
            </w:r>
          </w:p>
        </w:tc>
      </w:tr>
      <w:tr>
        <w:trPr/>
        <w:tc>
          <w:tcPr>
            <w:tcW w:w="164" w:type="dxa"/>
            <w:tcBorders>
              <w:bottom w:val="single" w:sz="8" w:space="0" w:color="000000"/>
            </w:tcBorders>
            <w:vAlign w:val="center"/>
          </w:tcPr>
          <w:p>
            <w:pPr>
              <w:pStyle w:val="TableContents"/>
              <w:bidi w:val="0"/>
              <w:spacing w:before="0" w:after="283"/>
              <w:jc w:val="center"/>
              <w:rPr/>
            </w:pPr>
            <w:r>
              <w:rPr/>
              <w:t> </w:t>
            </w:r>
          </w:p>
        </w:tc>
        <w:tc>
          <w:tcPr>
            <w:tcW w:w="5884" w:type="dxa"/>
            <w:gridSpan w:val="3"/>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E_edei--CityAreaCode_c20260917__20"/>
            <w:bookmarkEnd w:id="12"/>
            <w:r>
              <w:rPr>
                <w:rFonts w:ascii="Times New Roman;Times;Serif" w:hAnsi="Times New Roman;Times;Serif"/>
                <w:b/>
                <w:i w:val="false"/>
                <w:caps w:val="false"/>
                <w:smallCaps w:val="false"/>
                <w:sz w:val="20"/>
              </w:rPr>
              <w:t xml:space="preserve">501) </w:t>
            </w:r>
            <w:bookmarkStart w:id="13" w:name="xdx_907_edei--LocalPhoneNumber_c20260917"/>
            <w:bookmarkEnd w:id="13"/>
            <w:r>
              <w:rPr>
                <w:rFonts w:ascii="Times New Roman;Times;Serif" w:hAnsi="Times New Roman;Times;Serif"/>
                <w:b/>
                <w:i w:val="false"/>
                <w:caps w:val="false"/>
                <w:smallCaps w:val="false"/>
                <w:sz w:val="20"/>
              </w:rPr>
              <w:t>376-5200</w:t>
            </w:r>
          </w:p>
        </w:tc>
        <w:tc>
          <w:tcPr>
            <w:tcW w:w="78" w:type="dxa"/>
            <w:tcBorders>
              <w:bottom w:val="single" w:sz="8" w:space="0" w:color="000000"/>
            </w:tcBorders>
            <w:vAlign w:val="center"/>
          </w:tcPr>
          <w:p>
            <w:pPr>
              <w:pStyle w:val="TableContents"/>
              <w:bidi w:val="0"/>
              <w:spacing w:before="0" w:after="283"/>
              <w:jc w:val="center"/>
              <w:rPr/>
            </w:pPr>
            <w:r>
              <w:rPr/>
              <w:t> </w:t>
            </w:r>
          </w:p>
        </w:tc>
      </w:tr>
      <w:tr>
        <w:trPr/>
        <w:tc>
          <w:tcPr>
            <w:tcW w:w="164" w:type="dxa"/>
            <w:tcBorders/>
            <w:tcMar>
              <w:bottom w:w="0" w:type="dxa"/>
            </w:tcMar>
            <w:vAlign w:val="center"/>
          </w:tcPr>
          <w:p>
            <w:pPr>
              <w:pStyle w:val="TableContents"/>
              <w:bidi w:val="0"/>
              <w:spacing w:before="0" w:after="283"/>
              <w:jc w:val="center"/>
              <w:rPr/>
            </w:pPr>
            <w:r>
              <w:rPr/>
              <w:t> </w:t>
            </w:r>
          </w:p>
        </w:tc>
        <w:tc>
          <w:tcPr>
            <w:tcW w:w="5884" w:type="dxa"/>
            <w:gridSpan w:val="3"/>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tc>
        <w:tc>
          <w:tcPr>
            <w:tcW w:w="78" w:type="dxa"/>
            <w:tcBorders/>
            <w:tcMar>
              <w:bottom w:w="0" w:type="dxa"/>
            </w:tcMar>
            <w:vAlign w:val="center"/>
          </w:tcPr>
          <w:p>
            <w:pPr>
              <w:pStyle w:val="TableContents"/>
              <w:bidi w:val="0"/>
              <w:spacing w:before="0" w:after="283"/>
              <w:jc w:val="center"/>
              <w:rPr/>
            </w:pPr>
            <w:r>
              <w:rPr/>
              <w:t> </w:t>
            </w:r>
          </w:p>
        </w:tc>
      </w:tr>
      <w:tr>
        <w:trPr/>
        <w:tc>
          <w:tcPr>
            <w:tcW w:w="164" w:type="dxa"/>
            <w:tcBorders/>
            <w:tcMar>
              <w:bottom w:w="0" w:type="dxa"/>
            </w:tcMar>
            <w:vAlign w:val="center"/>
          </w:tcPr>
          <w:p>
            <w:pPr>
              <w:pStyle w:val="TableContents"/>
              <w:bidi w:val="0"/>
              <w:spacing w:before="0" w:after="283"/>
              <w:jc w:val="center"/>
              <w:rPr/>
            </w:pPr>
            <w:r>
              <w:rPr/>
              <w:t> </w:t>
            </w:r>
          </w:p>
        </w:tc>
        <w:tc>
          <w:tcPr>
            <w:tcW w:w="5884" w:type="dxa"/>
            <w:gridSpan w:val="3"/>
            <w:tcBorders/>
            <w:tcMar>
              <w:bottom w:w="0" w:type="dxa"/>
            </w:tcMar>
            <w:vAlign w:val="center"/>
          </w:tcPr>
          <w:p>
            <w:pPr>
              <w:pStyle w:val="TableContents"/>
              <w:bidi w:val="0"/>
              <w:spacing w:before="0" w:after="283"/>
              <w:jc w:val="center"/>
              <w:rPr/>
            </w:pPr>
            <w:r>
              <w:rPr/>
              <w:t> </w:t>
            </w:r>
          </w:p>
        </w:tc>
        <w:tc>
          <w:tcPr>
            <w:tcW w:w="78" w:type="dxa"/>
            <w:tcBorders/>
            <w:tcMar>
              <w:bottom w:w="0" w:type="dxa"/>
            </w:tcMar>
            <w:vAlign w:val="center"/>
          </w:tcPr>
          <w:p>
            <w:pPr>
              <w:pStyle w:val="TableContents"/>
              <w:bidi w:val="0"/>
              <w:spacing w:before="0" w:after="283"/>
              <w:jc w:val="center"/>
              <w:rPr/>
            </w:pPr>
            <w:r>
              <w:rPr/>
              <w:t> </w:t>
            </w:r>
          </w:p>
        </w:tc>
      </w:tr>
      <w:tr>
        <w:trPr/>
        <w:tc>
          <w:tcPr>
            <w:tcW w:w="164" w:type="dxa"/>
            <w:tcBorders/>
            <w:tcMar>
              <w:bottom w:w="0" w:type="dxa"/>
            </w:tcMar>
            <w:vAlign w:val="center"/>
          </w:tcPr>
          <w:p>
            <w:pPr>
              <w:pStyle w:val="TableContents"/>
              <w:bidi w:val="0"/>
              <w:spacing w:before="0" w:after="283"/>
              <w:jc w:val="center"/>
              <w:rPr/>
            </w:pPr>
            <w:r>
              <w:rPr/>
              <w:t> </w:t>
            </w:r>
          </w:p>
        </w:tc>
        <w:tc>
          <w:tcPr>
            <w:tcW w:w="5884" w:type="dxa"/>
            <w:gridSpan w:val="3"/>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tc>
        <w:tc>
          <w:tcPr>
            <w:tcW w:w="78" w:type="dxa"/>
            <w:tcBorders/>
            <w:tcMar>
              <w:bottom w:w="0" w:type="dxa"/>
            </w:tcMar>
            <w:vAlign w:val="center"/>
          </w:tcPr>
          <w:p>
            <w:pPr>
              <w:pStyle w:val="TableContents"/>
              <w:bidi w:val="0"/>
              <w:spacing w:before="0" w:after="283"/>
              <w:jc w:val="center"/>
              <w:rPr/>
            </w:pPr>
            <w:r>
              <w:rPr/>
              <w:t> </w:t>
            </w:r>
          </w:p>
        </w:tc>
      </w:tr>
      <w:tr>
        <w:trPr/>
        <w:tc>
          <w:tcPr>
            <w:tcW w:w="164" w:type="dxa"/>
            <w:tcBorders/>
            <w:tcMar>
              <w:bottom w:w="0" w:type="dxa"/>
            </w:tcMar>
            <w:vAlign w:val="center"/>
          </w:tcPr>
          <w:p>
            <w:pPr>
              <w:pStyle w:val="TableContents"/>
              <w:bidi w:val="0"/>
              <w:spacing w:before="0" w:after="283"/>
              <w:jc w:val="center"/>
              <w:rPr/>
            </w:pPr>
            <w:r>
              <w:rPr/>
              <w:t> </w:t>
            </w:r>
          </w:p>
        </w:tc>
        <w:tc>
          <w:tcPr>
            <w:tcW w:w="5884" w:type="dxa"/>
            <w:gridSpan w:val="3"/>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tc>
        <w:tc>
          <w:tcPr>
            <w:tcW w:w="78" w:type="dxa"/>
            <w:tcBorders/>
            <w:tcMar>
              <w:bottom w:w="0" w:type="dxa"/>
            </w:tcMar>
            <w:vAlign w:val="center"/>
          </w:tcPr>
          <w:p>
            <w:pPr>
              <w:pStyle w:val="TableContents"/>
              <w:bidi w:val="0"/>
              <w:spacing w:before="0" w:after="283"/>
              <w:jc w:val="center"/>
              <w:rPr/>
            </w:pPr>
            <w:r>
              <w:rPr/>
              <w:t> </w:t>
            </w:r>
          </w:p>
        </w:tc>
      </w:tr>
      <w:tr>
        <w:trPr/>
        <w:tc>
          <w:tcPr>
            <w:tcW w:w="164" w:type="dxa"/>
            <w:tcBorders/>
            <w:tcMar>
              <w:bottom w:w="0" w:type="dxa"/>
            </w:tcMar>
            <w:vAlign w:val="center"/>
          </w:tcPr>
          <w:p>
            <w:pPr>
              <w:pStyle w:val="TableContents"/>
              <w:bidi w:val="0"/>
              <w:spacing w:before="0" w:after="283"/>
              <w:jc w:val="left"/>
              <w:rPr/>
            </w:pPr>
            <w:r>
              <w:rPr/>
              <w:t> </w:t>
            </w:r>
          </w:p>
        </w:tc>
        <w:tc>
          <w:tcPr>
            <w:tcW w:w="3050" w:type="dxa"/>
            <w:tcBorders/>
            <w:tcMar>
              <w:bottom w:w="0" w:type="dxa"/>
            </w:tcMar>
            <w:vAlign w:val="center"/>
          </w:tcPr>
          <w:p>
            <w:pPr>
              <w:pStyle w:val="TableContents"/>
              <w:bidi w:val="0"/>
              <w:spacing w:before="0" w:after="283"/>
              <w:jc w:val="left"/>
              <w:rPr/>
            </w:pPr>
            <w:r>
              <w:rPr/>
              <w:t> </w:t>
            </w:r>
          </w:p>
        </w:tc>
        <w:tc>
          <w:tcPr>
            <w:tcW w:w="1378" w:type="dxa"/>
            <w:tcBorders/>
            <w:tcMar>
              <w:bottom w:w="0" w:type="dxa"/>
            </w:tcMar>
            <w:vAlign w:val="center"/>
          </w:tcPr>
          <w:p>
            <w:pPr>
              <w:pStyle w:val="TableContents"/>
              <w:bidi w:val="0"/>
              <w:spacing w:before="0" w:after="283"/>
              <w:jc w:val="left"/>
              <w:rPr/>
            </w:pPr>
            <w:r>
              <w:rPr/>
              <w:t> </w:t>
            </w:r>
          </w:p>
        </w:tc>
        <w:tc>
          <w:tcPr>
            <w:tcW w:w="1456"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 </w:t>
      </w:r>
      <w:r>
        <w:rPr>
          <w:rFonts w:ascii="Times New Roman;Times;Serif" w:hAnsi="Times New Roman;Times;Serif"/>
          <w:b w:val="false"/>
          <w:i w:val="false"/>
          <w:caps w:val="false"/>
          <w:smallCaps w:val="false"/>
          <w:sz w:val="20"/>
        </w:rPr>
        <w:t>General Instruction A.2. below):</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4" w:name="xdx_907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5" w:name="xdx_90E_edei--SolicitingMaterial_c202609"/>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ind w:left="0" w:right="0" w:hanging="360"/>
              <w:jc w:val="left"/>
              <w:rPr>
                <w:caps w:val="false"/>
                <w:smallCaps w:val="false"/>
              </w:rPr>
            </w:pPr>
            <w:bookmarkStart w:id="16" w:name="xdx_906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ind w:left="0" w:right="0" w:hanging="360"/>
              <w:jc w:val="left"/>
              <w:rPr/>
            </w:pPr>
            <w:bookmarkStart w:id="17" w:name="xdx_909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718"/>
        <w:gridCol w:w="60"/>
        <w:gridCol w:w="1422"/>
        <w:gridCol w:w="60"/>
        <w:gridCol w:w="2945"/>
      </w:tblGrid>
      <w:tr>
        <w:trPr/>
        <w:tc>
          <w:tcPr>
            <w:tcW w:w="5718" w:type="dxa"/>
            <w:tcBorders>
              <w:bottom w:val="single" w:sz="8" w:space="0" w:color="000000"/>
            </w:tcBorders>
            <w:vAlign w:val="center"/>
          </w:tcPr>
          <w:p>
            <w:pPr>
              <w:pStyle w:val="TableContents"/>
              <w:bidi w:val="0"/>
              <w:spacing w:before="0" w:after="283"/>
              <w:jc w:val="center"/>
              <w:rPr/>
            </w:pPr>
            <w:r>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22" w:type="dxa"/>
            <w:tcBorders>
              <w:bottom w:val="single" w:sz="8" w:space="0" w:color="000000"/>
            </w:tcBorders>
            <w:vAlign w:val="center"/>
          </w:tcPr>
          <w:p>
            <w:pPr>
              <w:pStyle w:val="TableContents"/>
              <w:bidi w:val="0"/>
              <w:spacing w:before="0" w:after="283"/>
              <w:jc w:val="center"/>
              <w:rPr/>
            </w:pPr>
            <w:r>
              <w:rPr/>
              <w:t>Trading Symbol(s)</w:t>
            </w:r>
          </w:p>
        </w:tc>
        <w:tc>
          <w:tcPr>
            <w:tcW w:w="60" w:type="dxa"/>
            <w:tcBorders/>
            <w:tcMar>
              <w:bottom w:w="0" w:type="dxa"/>
            </w:tcMar>
            <w:vAlign w:val="center"/>
          </w:tcPr>
          <w:p>
            <w:pPr>
              <w:pStyle w:val="TableContents"/>
              <w:bidi w:val="0"/>
              <w:spacing w:before="0" w:after="283"/>
              <w:jc w:val="left"/>
              <w:rPr/>
            </w:pPr>
            <w:r>
              <w:rPr/>
              <w:t> </w:t>
            </w:r>
          </w:p>
        </w:tc>
        <w:tc>
          <w:tcPr>
            <w:tcW w:w="2945" w:type="dxa"/>
            <w:tcBorders>
              <w:bottom w:val="single" w:sz="8" w:space="0" w:color="000000"/>
            </w:tcBorders>
            <w:vAlign w:val="center"/>
          </w:tcPr>
          <w:p>
            <w:pPr>
              <w:pStyle w:val="TableContents"/>
              <w:bidi w:val="0"/>
              <w:spacing w:before="0" w:after="283"/>
              <w:jc w:val="center"/>
              <w:rPr/>
            </w:pPr>
            <w:r>
              <w:rPr/>
              <w:t>Name of each exchange on which registered</w:t>
            </w:r>
          </w:p>
        </w:tc>
      </w:tr>
      <w:tr>
        <w:trPr/>
        <w:tc>
          <w:tcPr>
            <w:tcW w:w="5718" w:type="dxa"/>
            <w:tcBorders/>
            <w:tcMar>
              <w:bottom w:w="0" w:type="dxa"/>
            </w:tcMar>
            <w:vAlign w:val="center"/>
          </w:tcPr>
          <w:p>
            <w:pPr>
              <w:pStyle w:val="TableContents"/>
              <w:bidi w:val="0"/>
              <w:spacing w:before="0" w:after="283"/>
              <w:jc w:val="center"/>
              <w:rPr/>
            </w:pPr>
            <w:bookmarkStart w:id="18" w:name="xdx_900_edei--Security12bTitle_c20260917"/>
            <w:bookmarkEnd w:id="18"/>
            <w:r>
              <w:rPr/>
              <w:t>Class A Common Stock</w:t>
            </w:r>
          </w:p>
        </w:tc>
        <w:tc>
          <w:tcPr>
            <w:tcW w:w="60" w:type="dxa"/>
            <w:tcBorders/>
            <w:tcMar>
              <w:bottom w:w="0" w:type="dxa"/>
            </w:tcMar>
            <w:vAlign w:val="center"/>
          </w:tcPr>
          <w:p>
            <w:pPr>
              <w:pStyle w:val="TableContents"/>
              <w:bidi w:val="0"/>
              <w:spacing w:before="0" w:after="283"/>
              <w:jc w:val="left"/>
              <w:rPr/>
            </w:pPr>
            <w:r>
              <w:rPr/>
              <w:t> </w:t>
            </w:r>
          </w:p>
        </w:tc>
        <w:tc>
          <w:tcPr>
            <w:tcW w:w="1422" w:type="dxa"/>
            <w:tcBorders/>
            <w:tcMar>
              <w:bottom w:w="0" w:type="dxa"/>
            </w:tcMar>
            <w:vAlign w:val="center"/>
          </w:tcPr>
          <w:p>
            <w:pPr>
              <w:pStyle w:val="TableContents"/>
              <w:bidi w:val="0"/>
              <w:spacing w:before="0" w:after="283"/>
              <w:jc w:val="center"/>
              <w:rPr/>
            </w:pPr>
            <w:bookmarkStart w:id="19" w:name="xdx_904_edei--TradingSymbol_c20260917__2"/>
            <w:bookmarkEnd w:id="19"/>
            <w:r>
              <w:rPr/>
              <w:t>DDS</w:t>
            </w:r>
          </w:p>
        </w:tc>
        <w:tc>
          <w:tcPr>
            <w:tcW w:w="60" w:type="dxa"/>
            <w:tcBorders/>
            <w:tcMar>
              <w:bottom w:w="0" w:type="dxa"/>
            </w:tcMar>
            <w:vAlign w:val="center"/>
          </w:tcPr>
          <w:p>
            <w:pPr>
              <w:pStyle w:val="TableContents"/>
              <w:bidi w:val="0"/>
              <w:spacing w:before="0" w:after="283"/>
              <w:jc w:val="left"/>
              <w:rPr/>
            </w:pPr>
            <w:r>
              <w:rPr/>
              <w:t> </w:t>
            </w:r>
          </w:p>
        </w:tc>
        <w:tc>
          <w:tcPr>
            <w:tcW w:w="2945" w:type="dxa"/>
            <w:tcBorders/>
            <w:tcMar>
              <w:bottom w:w="0" w:type="dxa"/>
            </w:tcMar>
            <w:vAlign w:val="center"/>
          </w:tcPr>
          <w:p>
            <w:pPr>
              <w:pStyle w:val="TableContents"/>
              <w:bidi w:val="0"/>
              <w:spacing w:before="0" w:after="283"/>
              <w:jc w:val="center"/>
              <w:rPr/>
            </w:pPr>
            <w:bookmarkStart w:id="20" w:name="xdx_90F_edei--SecurityExchangeName_c2026"/>
            <w:bookmarkEnd w:id="20"/>
            <w:r>
              <w:rPr/>
              <w:t>New York Stock Exchange</w:t>
            </w:r>
          </w:p>
        </w:tc>
      </w:tr>
      <w:tr>
        <w:trPr/>
        <w:tc>
          <w:tcPr>
            <w:tcW w:w="5718" w:type="dxa"/>
            <w:tcBorders/>
            <w:tcMar>
              <w:bottom w:w="0" w:type="dxa"/>
            </w:tcMar>
            <w:vAlign w:val="center"/>
          </w:tcPr>
          <w:p>
            <w:pPr>
              <w:pStyle w:val="TableContents"/>
              <w:bidi w:val="0"/>
              <w:spacing w:before="0" w:after="283"/>
              <w:jc w:val="center"/>
              <w:rPr>
                <w:sz w:val="20"/>
              </w:rPr>
            </w:pPr>
            <w:bookmarkStart w:id="21" w:name="xdx_909_edei--Security12bTitle_c20260917"/>
            <w:bookmarkEnd w:id="21"/>
            <w:r>
              <w:rPr>
                <w:sz w:val="20"/>
              </w:rPr>
              <w:t>7.50% Capital Securities of Dillard’s Capital Trust I (and the Guarantee of Dillard’s, Inc. with respect thereto)</w:t>
            </w:r>
          </w:p>
        </w:tc>
        <w:tc>
          <w:tcPr>
            <w:tcW w:w="60" w:type="dxa"/>
            <w:tcBorders/>
            <w:tcMar>
              <w:bottom w:w="0" w:type="dxa"/>
            </w:tcMar>
            <w:vAlign w:val="center"/>
          </w:tcPr>
          <w:p>
            <w:pPr>
              <w:pStyle w:val="TableContents"/>
              <w:bidi w:val="0"/>
              <w:spacing w:before="0" w:after="283"/>
              <w:jc w:val="center"/>
              <w:rPr/>
            </w:pPr>
            <w:r>
              <w:rPr/>
              <w:t> </w:t>
            </w:r>
          </w:p>
        </w:tc>
        <w:tc>
          <w:tcPr>
            <w:tcW w:w="1422" w:type="dxa"/>
            <w:tcBorders/>
            <w:tcMar>
              <w:bottom w:w="0" w:type="dxa"/>
            </w:tcMar>
            <w:vAlign w:val="center"/>
          </w:tcPr>
          <w:p>
            <w:pPr>
              <w:pStyle w:val="TableContents"/>
              <w:bidi w:val="0"/>
              <w:spacing w:before="0" w:after="283"/>
              <w:jc w:val="center"/>
              <w:rPr>
                <w:sz w:val="20"/>
              </w:rPr>
            </w:pPr>
            <w:bookmarkStart w:id="22" w:name="xdx_902_edei--TradingSymbol_c20260917__2"/>
            <w:bookmarkEnd w:id="22"/>
            <w:r>
              <w:rPr>
                <w:sz w:val="20"/>
              </w:rPr>
              <w:t>DDT</w:t>
            </w:r>
          </w:p>
        </w:tc>
        <w:tc>
          <w:tcPr>
            <w:tcW w:w="60" w:type="dxa"/>
            <w:tcBorders/>
            <w:tcMar>
              <w:bottom w:w="0" w:type="dxa"/>
            </w:tcMar>
            <w:vAlign w:val="center"/>
          </w:tcPr>
          <w:p>
            <w:pPr>
              <w:pStyle w:val="TableContents"/>
              <w:bidi w:val="0"/>
              <w:spacing w:before="0" w:after="283"/>
              <w:jc w:val="center"/>
              <w:rPr/>
            </w:pPr>
            <w:r>
              <w:rPr/>
              <w:t> </w:t>
            </w:r>
          </w:p>
        </w:tc>
        <w:tc>
          <w:tcPr>
            <w:tcW w:w="2945" w:type="dxa"/>
            <w:tcBorders/>
            <w:tcMar>
              <w:bottom w:w="0" w:type="dxa"/>
            </w:tcMar>
            <w:vAlign w:val="center"/>
          </w:tcPr>
          <w:p>
            <w:pPr>
              <w:pStyle w:val="TableContents"/>
              <w:bidi w:val="0"/>
              <w:spacing w:before="0" w:after="283"/>
              <w:jc w:val="center"/>
              <w:rPr>
                <w:sz w:val="20"/>
              </w:rPr>
            </w:pPr>
            <w:bookmarkStart w:id="23" w:name="xdx_90F_edei--SecurityExchangeName_c2026"/>
            <w:bookmarkEnd w:id="23"/>
            <w:r>
              <w:rPr>
                <w:sz w:val="20"/>
              </w:rPr>
              <w:t>New York Stock Exchange</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4" w:name="xdx_90C_edei--EntityEmergingGrowthCompan"/>
      <w:bookmarkEnd w:id="24"/>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27"/>
        <w:gridCol w:w="9240"/>
      </w:tblGrid>
      <w:tr>
        <w:trPr/>
        <w:tc>
          <w:tcPr>
            <w:tcW w:w="3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b/>
              </w:rPr>
            </w:pPr>
            <w:r>
              <w:rPr>
                <w:b/>
              </w:rPr>
              <w:t>Item 3.01</w:t>
            </w:r>
          </w:p>
        </w:tc>
        <w:tc>
          <w:tcPr>
            <w:tcW w:w="9240" w:type="dxa"/>
            <w:tcBorders/>
            <w:vAlign w:val="center"/>
          </w:tcPr>
          <w:p>
            <w:pPr>
              <w:pStyle w:val="TableContents"/>
              <w:bidi w:val="0"/>
              <w:spacing w:before="0" w:after="283"/>
              <w:jc w:val="left"/>
              <w:rPr>
                <w:b/>
                <w:u w:val="single"/>
              </w:rPr>
            </w:pPr>
            <w:r>
              <w:rPr>
                <w:b/>
                <w:u w:val="single"/>
              </w:rPr>
              <w:t>Notice of Delisting or Failure to Satisfy a Continued Listing Rule or Standard; Transfer of Listing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2026, Dillard’s, Inc. (the “Company”), acting pursuant to authorization from its Board of Directors (the “Board”), notified the New York Stock Exchange (“NYSE”) of its intention to voluntarily withdraw the primary listings of the Company’s Class A common stock, par value $0.01 per share (the “Common Stock”), and the 7.50% Capital Securities of Dillard’s Capital Trust I (and the Guarantee of the Company with respect thereto) (together, the “Trust Securities”) from the NYSE and transfer the primary listings to the Texas Stock Exchange LLC (the “TXSE”). The Company expects that trading of the Common Stock and the Trust Securities on the NYSE as primary listings will end at market close on October 2, 2026, and that trading on the TXSE as primary listings will begin at market open on October 5,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and the Trust Securities have been approved for listing on the TXSE, where they will continue to trade under the stock symbols “DDS” and “DDT”, respectively.</w:t>
      </w:r>
    </w:p>
    <w:p>
      <w:pPr>
        <w:pStyle w:val="TextBody"/>
        <w:bidi w:val="0"/>
        <w:spacing w:before="0" w:after="0"/>
        <w:ind w:left="0" w:right="0" w:firstLine="720"/>
        <w:jc w:val="left"/>
        <w:rPr>
          <w:caps w:val="false"/>
          <w:smallCaps w:val="false"/>
        </w:rPr>
      </w:pPr>
      <w:r>
        <w:rPr>
          <w:caps w:val="false"/>
          <w:smallCaps w:val="false"/>
        </w:rPr>
        <w:t> </w:t>
      </w:r>
    </w:p>
    <w:tbl>
      <w:tblPr>
        <w:tblW w:w="3648" w:type="dxa"/>
        <w:jc w:val="left"/>
        <w:tblInd w:w="0" w:type="dxa"/>
        <w:tblLayout w:type="fixed"/>
        <w:tblCellMar>
          <w:top w:w="0" w:type="dxa"/>
          <w:left w:w="0" w:type="dxa"/>
          <w:bottom w:w="0" w:type="dxa"/>
          <w:right w:w="0" w:type="dxa"/>
        </w:tblCellMar>
      </w:tblPr>
      <w:tblGrid>
        <w:gridCol w:w="38"/>
        <w:gridCol w:w="965"/>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7.01</w:t>
            </w:r>
          </w:p>
        </w:tc>
        <w:tc>
          <w:tcPr>
            <w:tcW w:w="2645" w:type="dxa"/>
            <w:tcBorders/>
            <w:vAlign w:val="center"/>
          </w:tcPr>
          <w:p>
            <w:pPr>
              <w:pStyle w:val="TableContents"/>
              <w:bidi w:val="0"/>
              <w:spacing w:before="0" w:after="283"/>
              <w:jc w:val="left"/>
              <w:rPr>
                <w:b/>
                <w:u w:val="single"/>
              </w:rPr>
            </w:pPr>
            <w:r>
              <w:rPr>
                <w:b/>
                <w:u w:val="single"/>
              </w:rPr>
              <w:t>Regulation FD Disclosure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the news release attached hereto as Exhibit 99.1 in connection with the transfer of the primary listings of the Common Stock and the Trust Securities to the TXSE.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7.01 of this Report and in Exhibit 99.1 to the Report shall not be deemed “filed” with the Commission for purposes of Section 18 of the Exchange Act of 1934, as amended (the “Exchange Act”), or otherwise subject to the liability of that section, and is not incorporated by reference into any filing under the Securities Act of 1933, as amended, or the Exchange Act.</w:t>
      </w:r>
    </w:p>
    <w:p>
      <w:pPr>
        <w:pStyle w:val="TextBody"/>
        <w:bidi w:val="0"/>
        <w:spacing w:before="0" w:after="0"/>
        <w:ind w:left="0" w:right="0" w:firstLine="720"/>
        <w:jc w:val="left"/>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38"/>
        <w:gridCol w:w="965"/>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00" w:type="dxa"/>
            <w:tcBorders/>
            <w:vAlign w:val="center"/>
          </w:tcPr>
          <w:p>
            <w:pPr>
              <w:pStyle w:val="TableContents"/>
              <w:bidi w:val="0"/>
              <w:spacing w:before="0" w:after="283"/>
              <w:jc w:val="left"/>
              <w:rPr>
                <w:b/>
                <w:u w:val="single"/>
              </w:rPr>
            </w:pPr>
            <w:r>
              <w:rPr>
                <w:b/>
                <w:u w:val="single"/>
              </w:rPr>
              <w:t>Financial Statements and Exhibits</w:t>
            </w:r>
          </w:p>
        </w:tc>
      </w:tr>
    </w:tbl>
    <w:p>
      <w:pPr>
        <w:pStyle w:val="TextBody"/>
        <w:bidi w:val="0"/>
        <w:spacing w:before="0" w:after="0"/>
        <w:ind w:left="0" w:right="0" w:firstLine="720"/>
        <w:jc w:val="left"/>
        <w:rPr>
          <w:caps w:val="false"/>
          <w:smallCaps w:val="false"/>
        </w:rPr>
      </w:pPr>
      <w:r>
        <w:rPr>
          <w:caps w:val="false"/>
          <w:smallCaps w:val="false"/>
        </w:rPr>
        <w:t> </w:t>
      </w:r>
    </w:p>
    <w:tbl>
      <w:tblPr>
        <w:tblW w:w="7570" w:type="dxa"/>
        <w:jc w:val="left"/>
        <w:tblInd w:w="0" w:type="dxa"/>
        <w:tblLayout w:type="fixed"/>
        <w:tblCellMar>
          <w:top w:w="0" w:type="dxa"/>
          <w:left w:w="0" w:type="dxa"/>
          <w:bottom w:w="28" w:type="dxa"/>
          <w:right w:w="0" w:type="dxa"/>
        </w:tblCellMar>
      </w:tblPr>
      <w:tblGrid>
        <w:gridCol w:w="995"/>
        <w:gridCol w:w="60"/>
        <w:gridCol w:w="6515"/>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51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15"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pPr>
            <w:hyperlink w:anchor="tm2625597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515" w:type="dxa"/>
            <w:tcBorders/>
            <w:tcMar>
              <w:bottom w:w="0" w:type="dxa"/>
            </w:tcMar>
            <w:vAlign w:val="center"/>
          </w:tcPr>
          <w:p>
            <w:pPr>
              <w:pStyle w:val="TableContents"/>
              <w:bidi w:val="0"/>
              <w:spacing w:before="0" w:after="283"/>
              <w:jc w:val="left"/>
              <w:rPr/>
            </w:pPr>
            <w:hyperlink w:anchor="tm2625597d1_ex99-1.htm">
              <w:r>
                <w:rPr>
                  <w:rStyle w:val="InternetLink"/>
                  <w:rFonts w:ascii="Times New Roman;Times;Serif" w:hAnsi="Times New Roman;Times;Serif"/>
                  <w:sz w:val="20"/>
                </w:rPr>
                <w:t>Press Release dated September 18, 2026.</w:t>
              </w:r>
            </w:hyperlink>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15"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5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9755" w:type="dxa"/>
        <w:jc w:val="left"/>
        <w:tblInd w:w="0" w:type="dxa"/>
        <w:tblLayout w:type="fixed"/>
        <w:tblCellMar>
          <w:top w:w="0" w:type="dxa"/>
          <w:left w:w="0" w:type="dxa"/>
          <w:bottom w:w="0" w:type="dxa"/>
          <w:right w:w="0" w:type="dxa"/>
        </w:tblCellMar>
      </w:tblPr>
      <w:tblGrid>
        <w:gridCol w:w="470"/>
        <w:gridCol w:w="1640"/>
        <w:gridCol w:w="60"/>
        <w:gridCol w:w="545"/>
        <w:gridCol w:w="7040"/>
      </w:tblGrid>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7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DILLARD’S, INC.</w:t>
            </w:r>
          </w:p>
        </w:tc>
      </w:tr>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7040"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6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18, 2026</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70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Phillip R. Watts</w:t>
            </w:r>
          </w:p>
        </w:tc>
      </w:tr>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Phillip R. Watts</w:t>
            </w:r>
          </w:p>
        </w:tc>
      </w:tr>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Co-Principal Financial Officer and Principal Accounting Officer</w:t>
            </w:r>
          </w:p>
        </w:tc>
      </w:tr>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7040"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70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Chris B. Johnson</w:t>
            </w:r>
          </w:p>
        </w:tc>
      </w:tr>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 B. Johnson</w:t>
            </w:r>
          </w:p>
        </w:tc>
      </w:tr>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Senior Vice President and Co-Principal Financial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jc w:val="left"/>
        <w:rPr/>
      </w:pPr>
      <w:bookmarkStart w:id="25" w:name="tm2625597d1_ex99-1.htm"/>
      <w:bookmarkStart w:id="26" w:name="kstm2625597d1_ex991"/>
      <w:bookmarkEnd w:id="25"/>
      <w:bookmarkEnd w:id="26"/>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Dillard’s, Inc. to Transfer U.S. Stock Exchange Listings to the Texas Stock Exchange (TXSE)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LITTLE ROCK, AR — September 18, 2026</w:t>
      </w:r>
      <w:r>
        <w:rPr>
          <w:rFonts w:ascii="Times New Roman;Times;Serif" w:hAnsi="Times New Roman;Times;Serif"/>
          <w:b w:val="false"/>
          <w:i w:val="false"/>
          <w:caps w:val="false"/>
          <w:smallCaps w:val="false"/>
          <w:sz w:val="20"/>
        </w:rPr>
        <w:t xml:space="preserve"> — Dillard’s, Inc. (NYSE: DDS) (the “Company” or “Dillard’s”), a Texas corporation headquartered in Little Rock, Arkansas, today announced that it will voluntarily transfer the primary listings of its securities from the New York Stock Exchange (“NYSE”) to the Texas Stock Exchange (“TXSE”).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applies to both Dillard’s Class A Common Stock (ticker: DDS) and the 7.50% Capital Securities of Dillard’s Capital Trust I (and the Guarantee of the Company with respect thereto) (ticker: DDT). Both securities are expected to cease trading on the NYSE as primary listings at the market close on Friday, October 2, 2026, and commence trading on the TXSE as primary listings at the market open on Monday, October 5, 2026, retaining their existing ticker symbols. No action is required by DDS shareholders or DDT securityholders in connection with the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 aligns Dillard’s deep roots and strong retail presence in Texas with TXSE’s technology-driven platform. Dillard’s Texas heritage dates back to 1956, when founder William T. Dillard acquired a store in downtown Tyler. The Lone Star State has since grown into the Company's largest market, now home to 54 locations. Dillard’s reincorporated from Delaware to Texas in August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Dillard’s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Dillard's was founded by William T. Dillard in 1938 in Nashville, Arkansas with an $8,000 investment in a hometown department store. Today, Dillard's, Inc. ranks among the nation's largest fashion retailers – operating 272 Dillard's stores, including 28 clearance centers, spanning 30 states and an Internet store at dillards.com. The Company focuses on delivering style, quality and value to its customers by offering premium fashion apparel, beauty and home collections from both national and exclusive brand sources. Dillard's complements this curated merchandise assortment with exceptional, client-focused customer 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matters contained in this press release concerning the listing transfers of DDS and DDT constitute forward-looking statements within the meaning of the Private Securities Litigation Reform Act of 1995. These statements are based upon management's expectations and beliefs concerning future events impacting the Company. Many factors outside the Company’s control, including risks related to delays in the timing for implementing the transfers, potential market disruptions with respect to the trading of the securities and potential impacts on the Company’s business or operations as it implements the transfers, could cause actual results to differ materially from those contemplated by forward-looking statements. Forward-looking statements speak only as of the date they were made, and the Company undertakes no obligation to publicly update them. For a description of other factors that could cause the Company's future results to differ from those expressed in any such forward-looking statements, see Item 1A entitled “Risk Factors” in the Company’s Annual Report on Form 10-K for the year ended January 31, 2026.</w:t>
      </w:r>
    </w:p>
    <w:p>
      <w:pPr>
        <w:pStyle w:val="TextBody"/>
        <w:bidi w:val="0"/>
        <w:spacing w:before="0" w:after="0"/>
        <w:ind w:left="0" w:right="0" w:hanging="0"/>
        <w:jc w:val="left"/>
        <w:rPr>
          <w:caps w:val="false"/>
          <w:smallCaps w:val="false"/>
        </w:rPr>
      </w:pPr>
      <w:r>
        <w:rPr>
          <w:caps w:val="false"/>
          <w:smallCaps w:val="false"/>
        </w:rPr>
        <w:t> </w:t>
      </w:r>
    </w:p>
    <w:tbl>
      <w:tblPr>
        <w:tblW w:w="2330" w:type="dxa"/>
        <w:jc w:val="left"/>
        <w:tblInd w:w="0" w:type="dxa"/>
        <w:tblLayout w:type="fixed"/>
        <w:tblCellMar>
          <w:top w:w="0" w:type="dxa"/>
          <w:left w:w="0" w:type="dxa"/>
          <w:bottom w:w="0" w:type="dxa"/>
          <w:right w:w="0" w:type="dxa"/>
        </w:tblCellMar>
      </w:tblPr>
      <w:tblGrid>
        <w:gridCol w:w="2330"/>
      </w:tblGrid>
      <w:tr>
        <w:trPr/>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CONTACT:</w:t>
            </w:r>
          </w:p>
        </w:tc>
      </w:tr>
      <w:tr>
        <w:trPr/>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Dillard’s, Inc.</w:t>
            </w:r>
          </w:p>
        </w:tc>
      </w:tr>
      <w:tr>
        <w:trPr/>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Julie J. Guymon</w:t>
            </w:r>
          </w:p>
        </w:tc>
      </w:tr>
      <w:tr>
        <w:trPr/>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501-376-5965</w:t>
            </w:r>
          </w:p>
        </w:tc>
      </w:tr>
      <w:tr>
        <w:trPr/>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julie.guymon@dillards.com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1200</Words>
  <Characters>6608</Characters>
  <CharactersWithSpaces>7856</CharactersWithSpaces>
  <Paragraphs>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