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dds-20260131x10k.htm"/>
        <w:bookmarkStart w:id="1" w:name="ksdds202601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d72def1b_6a13_4aa4_a2a0_57886655a26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gqUWrAxiT0iAoHl6nqABWQ_6_0"/>
      <w:bookmarkStart w:id="4" w:name="Tc_MA5L5wGiRU--gawFpKDY4g_5_2"/>
      <w:bookmarkStart w:id="5" w:name="Tc_N1wIEJoVHECYp25SH03NBg_4_0"/>
      <w:bookmarkStart w:id="6" w:name="Tc_H1zUj1PgtESl3yk3jnW0cQ_3_0"/>
      <w:bookmarkStart w:id="7" w:name="Tc_L4vyYe4EsUaK20kD19mmgA_2_2"/>
      <w:bookmarkStart w:id="8" w:name="Tc_enmuTJ34PU2V5Je1MZZGlA_1_0"/>
      <w:bookmarkStart w:id="9" w:name="_cb6db5af_d192_4ea5_918a_f8875bcaaddf"/>
      <w:bookmarkStart w:id="10" w:name="Tc_gqUWrAxiT0iAoHl6nqABWQ_6_0"/>
      <w:bookmarkStart w:id="11" w:name="Tc_MA5L5wGiRU--gawFpKDY4g_5_2"/>
      <w:bookmarkStart w:id="12" w:name="Tc_N1wIEJoVHECYp25SH03NBg_4_0"/>
      <w:bookmarkStart w:id="13" w:name="Tc_H1zUj1PgtESl3yk3jnW0cQ_3_0"/>
      <w:bookmarkStart w:id="14" w:name="Tc_L4vyYe4EsUaK20kD19mmgA_2_2"/>
      <w:bookmarkStart w:id="15" w:name="Tc_enmuTJ34PU2V5Je1MZZGlA_1_0"/>
      <w:bookmarkStart w:id="16" w:name="_cb6db5af_d192_4ea5_918a_f8875bcaaddf"/>
      <w:bookmarkEnd w:id="10"/>
      <w:bookmarkEnd w:id="11"/>
      <w:bookmarkEnd w:id="12"/>
      <w:bookmarkEnd w:id="13"/>
      <w:bookmarkEnd w:id="14"/>
      <w:bookmarkEnd w:id="15"/>
      <w:bookmarkEnd w:id="16"/>
    </w:p>
    <w:tbl>
      <w:tblPr>
        <w:tblW w:w="9738" w:type="dxa"/>
        <w:jc w:val="left"/>
        <w:tblInd w:w="0" w:type="dxa"/>
        <w:tblLayout w:type="fixed"/>
        <w:tblCellMar>
          <w:top w:w="0" w:type="dxa"/>
          <w:left w:w="0" w:type="dxa"/>
          <w:bottom w:w="0" w:type="dxa"/>
          <w:right w:w="0" w:type="dxa"/>
        </w:tblCellMar>
      </w:tblPr>
      <w:tblGrid>
        <w:gridCol w:w="721"/>
        <w:gridCol w:w="346"/>
        <w:gridCol w:w="8671"/>
      </w:tblGrid>
      <w:tr>
        <w:trPr/>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671" w:type="dxa"/>
            <w:tcBorders/>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(Mark one)</w:t>
            </w:r>
          </w:p>
        </w:tc>
        <w:tc>
          <w:tcPr>
            <w:tcW w:w="346" w:type="dxa"/>
            <w:tcBorders/>
            <w:vAlign w:val="center"/>
          </w:tcPr>
          <w:p>
            <w:pPr>
              <w:pStyle w:val="TableContents"/>
              <w:bidi w:val="0"/>
              <w:spacing w:before="0" w:after="0"/>
              <w:ind w:left="0" w:right="0" w:hanging="0"/>
              <w:jc w:val="left"/>
              <w:rPr/>
            </w:pPr>
            <w:r>
              <w:rPr/>
              <w:t>  ​ ​ ​</w:t>
            </w:r>
          </w:p>
        </w:tc>
        <w:tc>
          <w:tcPr>
            <w:tcW w:w="8671" w:type="dxa"/>
            <w:tcBorders/>
            <w:vAlign w:val="center"/>
          </w:tcPr>
          <w:p>
            <w:pPr>
              <w:pStyle w:val="TableContents"/>
              <w:bidi w:val="0"/>
              <w:spacing w:before="0" w:after="0"/>
              <w:ind w:left="0" w:right="0" w:hanging="0"/>
              <w:jc w:val="left"/>
              <w:rPr/>
            </w:pPr>
            <w:r>
              <w:rPr/>
              <w:t> </w:t>
            </w:r>
          </w:p>
        </w:tc>
      </w:tr>
      <w:tr>
        <w:trPr/>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r>
        <w:trPr/>
        <w:tc>
          <w:tcPr>
            <w:tcW w:w="9738" w:type="dxa"/>
            <w:gridSpan w:val="3"/>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fiscal year ended January 31, 2026</w:t>
            </w:r>
          </w:p>
        </w:tc>
      </w:tr>
      <w:tr>
        <w:trPr/>
        <w:tc>
          <w:tcPr>
            <w:tcW w:w="9738" w:type="dxa"/>
            <w:gridSpan w:val="3"/>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or</w:t>
            </w:r>
          </w:p>
        </w:tc>
      </w:tr>
      <w:tr>
        <w:trPr/>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8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r>
        <w:trPr/>
        <w:tc>
          <w:tcPr>
            <w:tcW w:w="9738" w:type="dxa"/>
            <w:gridSpan w:val="3"/>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transition period from                    to                    .</w:t>
            </w:r>
          </w:p>
        </w:tc>
      </w:tr>
    </w:tbl>
    <w:p>
      <w:pPr>
        <w:pStyle w:val="TextBody"/>
        <w:bidi w:val="0"/>
        <w:spacing w:before="0" w:after="0"/>
        <w:ind w:left="0" w:right="0" w:hanging="0"/>
        <w:jc w:val="left"/>
        <w:rPr/>
      </w:pPr>
      <w:r>
        <w:rPr/>
        <w:t>​</w:t>
      </w:r>
    </w:p>
    <w:p>
      <w:pPr>
        <w:pStyle w:val="TextBody"/>
        <w:bidi w:val="0"/>
        <w:spacing w:before="0" w:after="20"/>
        <w:ind w:left="0" w:right="0" w:hanging="0"/>
        <w:jc w:val="center"/>
        <w:rPr>
          <w:rFonts w:ascii="Times New Roman;Times;serif" w:hAnsi="Times New Roman;Times;serif"/>
          <w:b/>
          <w:sz w:val="14"/>
        </w:rPr>
      </w:pPr>
      <w:r>
        <w:rPr>
          <w:rFonts w:ascii="Times New Roman;Times;serif" w:hAnsi="Times New Roman;Times;serif"/>
          <w:b/>
          <w:sz w:val="14"/>
        </w:rPr>
        <w:t>Commission file number 1-6140</w:t>
      </w:r>
    </w:p>
    <w:p>
      <w:pPr>
        <w:pStyle w:val="TextBody"/>
        <w:bidi w:val="0"/>
        <w:spacing w:before="0" w:after="0"/>
        <w:ind w:left="0" w:right="0" w:hanging="0"/>
        <w:jc w:val="center"/>
        <w:rPr>
          <w:rFonts w:ascii="Times New Roman;Times;serif" w:hAnsi="Times New Roman;Times;serif"/>
          <w:sz w:val="28"/>
        </w:rPr>
      </w:pPr>
      <w:r>
        <w:rPr>
          <w:rFonts w:ascii="Times New Roman;Times;serif" w:hAnsi="Times New Roman;Times;serif"/>
          <w:b/>
          <w:sz w:val="28"/>
        </w:rPr>
        <w:t>DILLARD’S, INC</w:t>
      </w:r>
      <w:r>
        <w:rPr>
          <w:rFonts w:ascii="Times New Roman;Times;serif" w:hAnsi="Times New Roman;Times;serif"/>
          <w:sz w:val="28"/>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zFNPWJg8QUqZJYIih0UhoA_2_2"/>
      <w:bookmarkStart w:id="18" w:name="Tc_RBstjs-2aUe9T7TsErXVsg_2_0"/>
      <w:bookmarkStart w:id="19" w:name="_6bc1f6c0_47ba_4c60_a0a6_315a8f4b8798"/>
      <w:bookmarkStart w:id="20" w:name="Tc_zFNPWJg8QUqZJYIih0UhoA_2_2"/>
      <w:bookmarkStart w:id="21" w:name="Tc_RBstjs-2aUe9T7TsErXVsg_2_0"/>
      <w:bookmarkStart w:id="22" w:name="_6bc1f6c0_47ba_4c60_a0a6_315a8f4b8798"/>
      <w:bookmarkEnd w:id="20"/>
      <w:bookmarkEnd w:id="21"/>
      <w:bookmarkEnd w:id="22"/>
    </w:p>
    <w:tbl>
      <w:tblPr>
        <w:tblW w:w="3543" w:type="dxa"/>
        <w:jc w:val="left"/>
        <w:tblInd w:w="0" w:type="dxa"/>
        <w:tblLayout w:type="fixed"/>
        <w:tblCellMar>
          <w:top w:w="0" w:type="dxa"/>
          <w:left w:w="0" w:type="dxa"/>
          <w:bottom w:w="0" w:type="dxa"/>
          <w:right w:w="0" w:type="dxa"/>
        </w:tblCellMar>
      </w:tblPr>
      <w:tblGrid>
        <w:gridCol w:w="1981"/>
        <w:gridCol w:w="346"/>
        <w:gridCol w:w="121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57935" cy="175260"/>
                      <wp:effectExtent l="0" t="0" r="0" b="0"/>
                      <wp:wrapNone/>
                      <wp:docPr id="1" name="Frame1"/>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72160" cy="175260"/>
                      <wp:effectExtent l="0" t="0" r="0" b="0"/>
                      <wp:wrapNone/>
                      <wp:docPr id="2" name="Frame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Texas</w:t>
            </w:r>
          </w:p>
        </w:tc>
        <w:tc>
          <w:tcPr>
            <w:tcW w:w="346" w:type="dxa"/>
            <w:tcBorders/>
            <w:vAlign w:val="center"/>
          </w:tcPr>
          <w:p>
            <w:pPr>
              <w:pStyle w:val="TableContents"/>
              <w:bidi w:val="0"/>
              <w:spacing w:before="0" w:after="0"/>
              <w:ind w:left="0" w:right="0" w:hanging="0"/>
              <w:jc w:val="left"/>
              <w:rPr/>
            </w:pPr>
            <w:r>
              <w:rPr/>
              <w:t>  ​ ​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71-0388071</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w:t>
              <w:br/>
              <w:t>of incorporation or organization</w:t>
            </w:r>
          </w:p>
        </w:tc>
        <w:tc>
          <w:tcPr>
            <w:tcW w:w="346" w:type="dxa"/>
            <w:tcBorders/>
            <w:vAlign w:val="center"/>
          </w:tcPr>
          <w:p>
            <w:pPr>
              <w:pStyle w:val="TableContents"/>
              <w:bidi w:val="0"/>
              <w:spacing w:before="0" w:after="24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1600 Cantrell Road, Little Rock, Arkansas</w:t>
      </w:r>
      <w:r>
        <w:rPr>
          <w:rFonts w:ascii="Times New Roman;Times;serif" w:hAnsi="Times New Roman;Times;serif"/>
          <w:sz w:val="20"/>
        </w:rPr>
        <w:t> </w:t>
      </w:r>
      <w:r>
        <w:rPr>
          <w:rFonts w:ascii="Times New Roman;Times;serif" w:hAnsi="Times New Roman;Times;serif"/>
          <w:b/>
          <w:sz w:val="14"/>
        </w:rPr>
        <w:t>72201</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(Zip Code)</w:t>
      </w:r>
    </w:p>
    <w:p>
      <w:pPr>
        <w:pStyle w:val="TextBody"/>
        <w:bidi w:val="0"/>
        <w:spacing w:before="0" w:after="240"/>
        <w:ind w:left="0" w:right="0" w:hanging="0"/>
        <w:jc w:val="center"/>
        <w:rPr/>
      </w:pPr>
      <w:r>
        <w:rPr/>
        <w:t>​</w:t>
      </w:r>
    </w:p>
    <w:p>
      <w:pPr>
        <w:pStyle w:val="TextBody"/>
        <w:bidi w:val="0"/>
        <w:spacing w:before="0" w:after="20"/>
        <w:ind w:left="0" w:right="0" w:hanging="0"/>
        <w:jc w:val="center"/>
        <w:rPr>
          <w:rFonts w:ascii="Times New Roman;Times;serif" w:hAnsi="Times New Roman;Times;serif"/>
          <w:sz w:val="20"/>
        </w:rPr>
      </w:pPr>
      <w:r>
        <w:rPr>
          <w:rFonts w:ascii="Times New Roman;Times;serif" w:hAnsi="Times New Roman;Times;serif"/>
          <w:sz w:val="14"/>
        </w:rPr>
        <w:t xml:space="preserve">Registrant’s telephone number, including area code </w:t>
      </w:r>
      <w:r>
        <w:rPr>
          <w:rFonts w:ascii="Times New Roman;Times;serif" w:hAnsi="Times New Roman;Times;serif"/>
          <w:b/>
          <w:sz w:val="14"/>
        </w:rPr>
        <w:t>(501) 376-5200</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 w:name="Tc_tPZGNZxKoEC3gyvPW0CSEQ_1_4"/>
      <w:bookmarkStart w:id="24" w:name="Tc_HpWpDuWV00Gg6H-affJz6Q_1_2"/>
      <w:bookmarkStart w:id="25" w:name="Tc_baouyZ-OeE6FVyTqBWDxOw_1_0"/>
      <w:bookmarkStart w:id="26" w:name="_66366df8_e47d_4eda_8dd1_f7c0503646c2"/>
      <w:bookmarkStart w:id="27" w:name="Tc_tPZGNZxKoEC3gyvPW0CSEQ_1_4"/>
      <w:bookmarkStart w:id="28" w:name="Tc_HpWpDuWV00Gg6H-affJz6Q_1_2"/>
      <w:bookmarkStart w:id="29" w:name="Tc_baouyZ-OeE6FVyTqBWDxOw_1_0"/>
      <w:bookmarkStart w:id="30" w:name="_66366df8_e47d_4eda_8dd1_f7c0503646c2"/>
      <w:bookmarkEnd w:id="27"/>
      <w:bookmarkEnd w:id="28"/>
      <w:bookmarkEnd w:id="29"/>
      <w:bookmarkEnd w:id="30"/>
    </w:p>
    <w:tbl>
      <w:tblPr>
        <w:tblW w:w="4265" w:type="dxa"/>
        <w:jc w:val="left"/>
        <w:tblInd w:w="0" w:type="dxa"/>
        <w:tblLayout w:type="fixed"/>
        <w:tblCellMar>
          <w:top w:w="0" w:type="dxa"/>
          <w:left w:w="0" w:type="dxa"/>
          <w:bottom w:w="0" w:type="dxa"/>
          <w:right w:w="0" w:type="dxa"/>
        </w:tblCellMar>
      </w:tblPr>
      <w:tblGrid>
        <w:gridCol w:w="1261"/>
        <w:gridCol w:w="346"/>
        <w:gridCol w:w="736"/>
        <w:gridCol w:w="346"/>
        <w:gridCol w:w="157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800735" cy="175260"/>
                      <wp:effectExtent l="0" t="0" r="0" b="0"/>
                      <wp:wrapNone/>
                      <wp:docPr id="3" name="Frame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7360" cy="175260"/>
                      <wp:effectExtent l="0" t="0" r="0" b="0"/>
                      <wp:wrapNone/>
                      <wp:docPr id="4" name="Frame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00760" cy="175260"/>
                      <wp:effectExtent l="0" t="0" r="0" b="0"/>
                      <wp:wrapNone/>
                      <wp:docPr id="5" name="Frame5"/>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center"/>
              <w:rPr>
                <w:rFonts w:ascii="Times New Roman;Times;serif" w:hAnsi="Times New Roman;Times;serif"/>
                <w:b/>
                <w:sz w:val="8"/>
              </w:rPr>
            </w:pPr>
            <w:r>
              <w:rPr>
                <w:rFonts w:ascii="Times New Roman;Times;serif" w:hAnsi="Times New Roman;Times;serif"/>
                <w:b/>
                <w:sz w:val="8"/>
              </w:rPr>
              <w:t>Title of each class</w:t>
            </w:r>
          </w:p>
        </w:tc>
        <w:tc>
          <w:tcPr>
            <w:tcW w:w="346" w:type="dxa"/>
            <w:tcBorders/>
            <w:vAlign w:val="center"/>
          </w:tcPr>
          <w:p>
            <w:pPr>
              <w:pStyle w:val="TableContents"/>
              <w:bidi w:val="0"/>
              <w:spacing w:before="0" w:after="0"/>
              <w:ind w:left="0" w:right="0" w:hanging="0"/>
              <w:jc w:val="center"/>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8"/>
              </w:rPr>
            </w:pPr>
            <w:r>
              <w:rPr>
                <w:rFonts w:ascii="Times New Roman;Times;serif" w:hAnsi="Times New Roman;Times;serif"/>
                <w:b/>
                <w:sz w:val="8"/>
              </w:rPr>
              <w:t>Trading Symbol(s)</w:t>
            </w:r>
          </w:p>
        </w:tc>
        <w:tc>
          <w:tcPr>
            <w:tcW w:w="346" w:type="dxa"/>
            <w:tcBorders/>
            <w:vAlign w:val="center"/>
          </w:tcPr>
          <w:p>
            <w:pPr>
              <w:pStyle w:val="TableContents"/>
              <w:bidi w:val="0"/>
              <w:spacing w:before="0" w:after="0"/>
              <w:ind w:left="0" w:right="0" w:hanging="0"/>
              <w:jc w:val="center"/>
              <w:rPr/>
            </w:pPr>
            <w:r>
              <w:rPr/>
              <w:t>  ​ ​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8"/>
              </w:rPr>
            </w:pPr>
            <w:r>
              <w:rPr>
                <w:rFonts w:ascii="Times New Roman;Times;serif" w:hAnsi="Times New Roman;Times;serif"/>
                <w:b/>
                <w:sz w:val="8"/>
              </w:rPr>
              <w:t>Name of each exchange on which registered</w:t>
            </w:r>
          </w:p>
        </w:tc>
      </w:tr>
      <w:tr>
        <w:trPr/>
        <w:tc>
          <w:tcPr>
            <w:tcW w:w="12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Class A Common Stock</w:t>
            </w:r>
          </w:p>
        </w:tc>
        <w:tc>
          <w:tcPr>
            <w:tcW w:w="346" w:type="dxa"/>
            <w:tcBorders/>
            <w:vAlign w:val="center"/>
          </w:tcPr>
          <w:p>
            <w:pPr>
              <w:pStyle w:val="TableContents"/>
              <w:bidi w:val="0"/>
              <w:spacing w:before="0" w:after="240"/>
              <w:ind w:left="0" w:right="0" w:hanging="0"/>
              <w:jc w:val="center"/>
              <w:rPr/>
            </w:pPr>
            <w:r>
              <w:rPr/>
              <w:t>​</w:t>
            </w:r>
          </w:p>
        </w:tc>
        <w:tc>
          <w:tcPr>
            <w:tcW w:w="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DDS</w:t>
            </w:r>
          </w:p>
        </w:tc>
        <w:tc>
          <w:tcPr>
            <w:tcW w:w="346" w:type="dxa"/>
            <w:tcBorders/>
            <w:vAlign w:val="center"/>
          </w:tcPr>
          <w:p>
            <w:pPr>
              <w:pStyle w:val="TableContents"/>
              <w:bidi w:val="0"/>
              <w:spacing w:before="0" w:after="240"/>
              <w:ind w:left="0" w:right="0" w:hanging="0"/>
              <w:jc w:val="center"/>
              <w:rPr/>
            </w:pPr>
            <w:r>
              <w:rPr/>
              <w:t>​</w:t>
            </w:r>
          </w:p>
        </w:tc>
        <w:tc>
          <w:tcPr>
            <w:tcW w:w="15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w:t>
      </w:r>
      <w:r>
        <w:rPr>
          <w:rFonts w:ascii="Times New Roman;Times;serif" w:hAnsi="Times New Roman;Times;serif"/>
          <w:sz w:val="20"/>
        </w:rPr>
        <w:t>☒ </w:t>
      </w:r>
      <w:r>
        <w:rPr>
          <w:rFonts w:ascii="Times New Roman;Times;serif" w:hAnsi="Times New Roman;Times;serif"/>
          <w:sz w:val="14"/>
        </w:rPr>
        <w:t>Yes</w:t>
      </w:r>
      <w:r>
        <w:rPr>
          <w:rFonts w:ascii="Times New Roman;Times;serif" w:hAnsi="Times New Roman;Times;serif"/>
          <w:sz w:val="20"/>
        </w:rPr>
        <w:t>    ☐ </w:t>
      </w:r>
      <w:r>
        <w:rPr>
          <w:rFonts w:ascii="Times New Roman;Times;serif" w:hAnsi="Times New Roman;Times;serif"/>
          <w:sz w:val="14"/>
        </w:rPr>
        <w:t>No</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Section 15(d) of the Act. </w:t>
      </w:r>
      <w:r>
        <w:rPr>
          <w:rFonts w:ascii="Times New Roman;Times;serif" w:hAnsi="Times New Roman;Times;serif"/>
          <w:sz w:val="20"/>
        </w:rPr>
        <w:t>☐ </w:t>
      </w:r>
      <w:r>
        <w:rPr>
          <w:rFonts w:ascii="Times New Roman;Times;serif" w:hAnsi="Times New Roman;Times;serif"/>
          <w:sz w:val="14"/>
        </w:rPr>
        <w:t>Yes    </w:t>
      </w:r>
      <w:r>
        <w:rPr>
          <w:rFonts w:ascii="Times New Roman;Times;serif" w:hAnsi="Times New Roman;Times;serif"/>
          <w:sz w:val="20"/>
        </w:rPr>
        <w:t>☒ </w:t>
      </w:r>
      <w:r>
        <w:rPr>
          <w:rFonts w:ascii="Times New Roman;Times;serif" w:hAnsi="Times New Roman;Times;serif"/>
          <w:sz w:val="14"/>
        </w:rPr>
        <w:t>No</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4"/>
        </w:rPr>
        <w:t>Yes</w:t>
      </w:r>
      <w:r>
        <w:rPr>
          <w:rFonts w:ascii="Times New Roman;Times;serif" w:hAnsi="Times New Roman;Times;serif"/>
          <w:sz w:val="20"/>
        </w:rPr>
        <w:t>    ☐ </w:t>
      </w:r>
      <w:r>
        <w:rPr>
          <w:rFonts w:ascii="Times New Roman;Times;serif" w:hAnsi="Times New Roman;Times;serif"/>
          <w:sz w:val="14"/>
        </w:rPr>
        <w:t>No</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4"/>
        </w:rPr>
        <w:t>Yes</w:t>
      </w:r>
      <w:r>
        <w:rPr>
          <w:rFonts w:ascii="Times New Roman;Times;serif" w:hAnsi="Times New Roman;Times;serif"/>
          <w:sz w:val="20"/>
        </w:rPr>
        <w:t>    ☐ </w:t>
      </w:r>
      <w:r>
        <w:rPr>
          <w:rFonts w:ascii="Times New Roman;Times;serif" w:hAnsi="Times New Roman;Times;serif"/>
          <w:sz w:val="14"/>
        </w:rPr>
        <w:t>No</w:t>
      </w:r>
    </w:p>
    <w:p>
      <w:pPr>
        <w:pStyle w:val="TextBody"/>
        <w:bidi w:val="0"/>
        <w:spacing w:before="0" w:after="0"/>
        <w:ind w:left="0" w:right="0" w:firstLine="36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1" w:name="Tc_Np3vVDFIsUaZmQyp-r365w_2_4"/>
      <w:bookmarkStart w:id="32" w:name="Tc_rwQuuytNrU64CcXm799hxw_2_1"/>
      <w:bookmarkStart w:id="33" w:name="Tc__CYGJtdYmUSZyEBtz61XLg_2_0"/>
      <w:bookmarkStart w:id="34" w:name="Tc_41i0KJ72XE6ox21Po8mVOA_1_4"/>
      <w:bookmarkStart w:id="35" w:name="Tc_v2d3k0uUj062AUIfW5CUfg_1_3"/>
      <w:bookmarkStart w:id="36" w:name="Tc_lwi0P1QT5EeSLxGcRJw4VA_1_2"/>
      <w:bookmarkStart w:id="37" w:name="Tc_OF0ZLKroJUW5Jqs3QAOAow_1_1"/>
      <w:bookmarkStart w:id="38" w:name="_cd88a7ab_c3d9_4166_ab66_adfeca6e1a80"/>
      <w:bookmarkStart w:id="39" w:name="Tc_Np3vVDFIsUaZmQyp-r365w_2_4"/>
      <w:bookmarkStart w:id="40" w:name="Tc_rwQuuytNrU64CcXm799hxw_2_1"/>
      <w:bookmarkStart w:id="41" w:name="Tc__CYGJtdYmUSZyEBtz61XLg_2_0"/>
      <w:bookmarkStart w:id="42" w:name="Tc_41i0KJ72XE6ox21Po8mVOA_1_4"/>
      <w:bookmarkStart w:id="43" w:name="Tc_v2d3k0uUj062AUIfW5CUfg_1_3"/>
      <w:bookmarkStart w:id="44" w:name="Tc_lwi0P1QT5EeSLxGcRJw4VA_1_2"/>
      <w:bookmarkStart w:id="45" w:name="Tc_OF0ZLKroJUW5Jqs3QAOAow_1_1"/>
      <w:bookmarkStart w:id="46" w:name="_cd88a7ab_c3d9_4166_ab66_adfeca6e1a80"/>
      <w:bookmarkEnd w:id="39"/>
      <w:bookmarkEnd w:id="40"/>
      <w:bookmarkEnd w:id="41"/>
      <w:bookmarkEnd w:id="42"/>
      <w:bookmarkEnd w:id="43"/>
      <w:bookmarkEnd w:id="44"/>
      <w:bookmarkEnd w:id="45"/>
      <w:bookmarkEnd w:id="46"/>
    </w:p>
    <w:tbl>
      <w:tblPr>
        <w:tblW w:w="5061" w:type="dxa"/>
        <w:jc w:val="left"/>
        <w:tblInd w:w="0" w:type="dxa"/>
        <w:tblLayout w:type="fixed"/>
        <w:tblCellMar>
          <w:top w:w="0" w:type="dxa"/>
          <w:left w:w="0" w:type="dxa"/>
          <w:bottom w:w="0" w:type="dxa"/>
          <w:right w:w="0" w:type="dxa"/>
        </w:tblCellMar>
      </w:tblPr>
      <w:tblGrid>
        <w:gridCol w:w="1366"/>
        <w:gridCol w:w="316"/>
        <w:gridCol w:w="1036"/>
        <w:gridCol w:w="316"/>
        <w:gridCol w:w="1666"/>
        <w:gridCol w:w="361"/>
      </w:tblGrid>
      <w:tr>
        <w:trPr/>
        <w:tc>
          <w:tcPr>
            <w:tcW w:w="13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3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center"/>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00"/>
        <w:ind w:left="0" w:right="0" w:firstLine="360"/>
        <w:jc w:val="both"/>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100"/>
        <w:ind w:left="0" w:right="0" w:firstLine="360"/>
        <w:jc w:val="both"/>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of the registrant as of August 2, 2025 was $3,465,020,033.</w:t>
      </w:r>
    </w:p>
    <w:p>
      <w:pPr>
        <w:pStyle w:val="TextBody"/>
        <w:bidi w:val="0"/>
        <w:spacing w:before="0" w:after="0"/>
        <w:ind w:left="0" w:right="0" w:firstLine="360"/>
        <w:jc w:val="both"/>
        <w:rPr>
          <w:rFonts w:ascii="Times New Roman;Times;serif" w:hAnsi="Times New Roman;Times;serif"/>
          <w:sz w:val="14"/>
        </w:rPr>
      </w:pPr>
      <w:r>
        <w:rPr>
          <w:rFonts w:ascii="Times New Roman;Times;serif" w:hAnsi="Times New Roman;Times;serif"/>
          <w:sz w:val="14"/>
        </w:rPr>
        <w:t>Indicate the number of shares outstanding of each of the registrant’s classes of common stock as of February 28, 2026:</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7" w:name="Tc_JMGcSAmj70GWt2Y3PAEnFQ_2_0"/>
      <w:bookmarkStart w:id="48" w:name="Tc_8w7Cp9_5-EW7O7XhICGs4g_1_0"/>
      <w:bookmarkStart w:id="49" w:name="_a50f0ed0_6df6_45cb_b431_d74188f51681"/>
      <w:bookmarkStart w:id="50" w:name="Tc_JMGcSAmj70GWt2Y3PAEnFQ_2_0"/>
      <w:bookmarkStart w:id="51" w:name="Tc_8w7Cp9_5-EW7O7XhICGs4g_1_0"/>
      <w:bookmarkStart w:id="52" w:name="_a50f0ed0_6df6_45cb_b431_d74188f51681"/>
      <w:bookmarkEnd w:id="50"/>
      <w:bookmarkEnd w:id="51"/>
      <w:bookmarkEnd w:id="52"/>
    </w:p>
    <w:tbl>
      <w:tblPr>
        <w:tblW w:w="3482" w:type="dxa"/>
        <w:jc w:val="left"/>
        <w:tblInd w:w="0" w:type="dxa"/>
        <w:tblLayout w:type="fixed"/>
        <w:tblCellMar>
          <w:top w:w="0" w:type="dxa"/>
          <w:left w:w="0" w:type="dxa"/>
          <w:bottom w:w="0" w:type="dxa"/>
          <w:right w:w="0" w:type="dxa"/>
        </w:tblCellMar>
      </w:tblPr>
      <w:tblGrid>
        <w:gridCol w:w="2671"/>
        <w:gridCol w:w="81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96085" cy="175260"/>
                      <wp:effectExtent l="0" t="0" r="0" b="0"/>
                      <wp:wrapNone/>
                      <wp:docPr id="6" name="Frame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14985" cy="175260"/>
                      <wp:effectExtent l="0" t="0" r="0" b="0"/>
                      <wp:wrapNone/>
                      <wp:docPr id="7" name="Frame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CLASS A COMMON STOCK, $0.01 par value</w:t>
            </w:r>
          </w:p>
        </w:tc>
        <w:tc>
          <w:tcPr>
            <w:tcW w:w="8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11,630,838</w:t>
            </w:r>
          </w:p>
        </w:tc>
      </w:tr>
      <w:tr>
        <w:trPr/>
        <w:tc>
          <w:tcPr>
            <w:tcW w:w="267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CLASS B COMMON STOCK, $0.01 par value</w:t>
            </w:r>
          </w:p>
        </w:tc>
        <w:tc>
          <w:tcPr>
            <w:tcW w:w="81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3,986,233</w:t>
            </w:r>
          </w:p>
        </w:tc>
      </w:tr>
    </w:tbl>
    <w:p>
      <w:pPr>
        <w:pStyle w:val="TextBody"/>
        <w:bidi w:val="0"/>
        <w:spacing w:before="0" w:after="0"/>
        <w:ind w:left="0" w:right="0" w:hanging="0"/>
        <w:jc w:val="left"/>
        <w:rPr/>
      </w:pPr>
      <w:r>
        <w:rPr/>
        <w:t>​</w:t>
      </w:r>
    </w:p>
    <w:p>
      <w:pPr>
        <w:pStyle w:val="TextBody"/>
        <w:bidi w:val="0"/>
        <w:spacing w:before="0" w:after="100"/>
        <w:ind w:left="0" w:right="0" w:firstLine="36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0"/>
        <w:ind w:left="0" w:right="0" w:firstLine="360"/>
        <w:jc w:val="both"/>
        <w:rPr>
          <w:rFonts w:ascii="Times New Roman;Times;serif" w:hAnsi="Times New Roman;Times;serif"/>
          <w:sz w:val="14"/>
        </w:rPr>
      </w:pPr>
      <w:r>
        <w:rPr>
          <w:rFonts w:ascii="Times New Roman;Times;serif" w:hAnsi="Times New Roman;Times;serif"/>
          <w:sz w:val="14"/>
        </w:rPr>
        <w:t>Portions of the Proxy Statement for the Annual Meeting of Stockholders to be held May 28, 2026 (the “Proxy Statement”) are incorporated by reference into Part III of this Form 10-K.</w:t>
      </w:r>
    </w:p>
    <w:p>
      <w:pPr>
        <w:pStyle w:val="TextBody"/>
        <w:bidi w:val="0"/>
        <w:spacing w:before="0" w:after="240"/>
        <w:ind w:left="0" w:right="0" w:hanging="0"/>
        <w:jc w:val="left"/>
        <w:rPr/>
      </w:pPr>
      <w:r>
        <w:rPr/>
        <w:t>​</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_3b98ed1c_3d3b_42a4_9d7a_3f49ef169e74"/>
      <w:bookmarkStart w:id="54" w:name="TOC"/>
      <w:bookmarkEnd w:id="53"/>
      <w:bookmarkEnd w:id="5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41"/>
        <w:gridCol w:w="8463"/>
        <w:gridCol w:w="901"/>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34035" cy="175260"/>
                      <wp:effectExtent l="0" t="0" r="0" b="0"/>
                      <wp:wrapNone/>
                      <wp:docPr id="8" name="Frame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374005" cy="175260"/>
                      <wp:effectExtent l="0" t="0" r="0" b="0"/>
                      <wp:wrapNone/>
                      <wp:docPr id="9" name="Frame9"/>
                      <a:graphic xmlns:a="http://schemas.openxmlformats.org/drawingml/2006/main">
                        <a:graphicData uri="http://schemas.microsoft.com/office/word/2010/wordprocessingShape">
                          <wps:wsp>
                            <wps:cNvSpPr txBox="1"/>
                            <wps:spPr>
                              <a:xfrm>
                                <a:off x="0" y="0"/>
                                <a:ext cx="537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2135" cy="175260"/>
                      <wp:effectExtent l="0" t="0" r="0" b="0"/>
                      <wp:wrapNone/>
                      <wp:docPr id="10" name="Frame1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No.</w:t>
            </w:r>
          </w:p>
        </w:tc>
        <w:tc>
          <w:tcPr>
            <w:tcW w:w="846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8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463" w:type="dxa"/>
            <w:tcBorders/>
            <w:vAlign w:val="center"/>
          </w:tcPr>
          <w:p>
            <w:pPr>
              <w:pStyle w:val="TableContents"/>
              <w:bidi w:val="0"/>
              <w:spacing w:before="0" w:after="0"/>
              <w:ind w:left="0" w:right="0" w:hanging="0"/>
              <w:jc w:val="center"/>
              <w:rPr/>
            </w:pPr>
            <w:hyperlink w:anchor="PARTI_124859">
              <w:r>
                <w:rPr>
                  <w:rStyle w:val="InternetLink"/>
                  <w:rFonts w:ascii="Times New Roman;Times;serif" w:hAnsi="Times New Roman;Times;serif"/>
                  <w:b/>
                  <w:i w:val="false"/>
                  <w:caps w:val="false"/>
                  <w:smallCaps w:val="false"/>
                  <w:sz w:val="20"/>
                </w:rPr>
                <w:t>PART I</w:t>
              </w:r>
            </w:hyperlink>
          </w:p>
        </w:tc>
        <w:tc>
          <w:tcPr>
            <w:tcW w:w="901"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r>
      <w:tr>
        <w:trPr/>
        <w:tc>
          <w:tcPr>
            <w:tcW w:w="841" w:type="dxa"/>
            <w:tcBorders/>
            <w:vAlign w:val="center"/>
          </w:tcPr>
          <w:p>
            <w:pPr>
              <w:pStyle w:val="TableContents"/>
              <w:bidi w:val="0"/>
              <w:spacing w:before="0" w:after="0"/>
              <w:ind w:left="0" w:right="0" w:hanging="0"/>
              <w:jc w:val="left"/>
              <w:rPr/>
            </w:pPr>
            <w:hyperlink w:anchor="ITEM1BUSINESS_795508">
              <w:r>
                <w:rPr>
                  <w:rStyle w:val="InternetLink"/>
                  <w:rFonts w:ascii="Times New Roman;Times;serif" w:hAnsi="Times New Roman;Times;serif"/>
                  <w:b w:val="false"/>
                  <w:i w:val="false"/>
                  <w:caps w:val="false"/>
                  <w:smallCaps w:val="false"/>
                  <w:sz w:val="20"/>
                </w:rPr>
                <w:t>1.</w:t>
              </w:r>
            </w:hyperlink>
          </w:p>
        </w:tc>
        <w:tc>
          <w:tcPr>
            <w:tcW w:w="8463" w:type="dxa"/>
            <w:tcBorders/>
            <w:vAlign w:val="center"/>
          </w:tcPr>
          <w:p>
            <w:pPr>
              <w:pStyle w:val="TableContents"/>
              <w:bidi w:val="0"/>
              <w:spacing w:before="0" w:after="0"/>
              <w:ind w:left="0" w:right="0" w:hanging="0"/>
              <w:jc w:val="left"/>
              <w:rPr/>
            </w:pPr>
            <w:hyperlink w:anchor="ITEM1BUSINESS_795508">
              <w:r>
                <w:rPr>
                  <w:rStyle w:val="InternetLink"/>
                  <w:rFonts w:ascii="Times New Roman;Times;serif" w:hAnsi="Times New Roman;Times;serif"/>
                  <w:b w:val="false"/>
                  <w:i w:val="false"/>
                  <w:caps w:val="false"/>
                  <w:smallCaps w:val="false"/>
                  <w:sz w:val="20"/>
                </w:rPr>
                <w:t>Business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41" w:type="dxa"/>
            <w:tcBorders/>
            <w:vAlign w:val="center"/>
          </w:tcPr>
          <w:p>
            <w:pPr>
              <w:pStyle w:val="TableContents"/>
              <w:bidi w:val="0"/>
              <w:spacing w:before="0" w:after="0"/>
              <w:ind w:left="0" w:right="0" w:hanging="0"/>
              <w:jc w:val="left"/>
              <w:rPr/>
            </w:pPr>
            <w:hyperlink w:anchor="ITEM1ARISKFACTORS_696248">
              <w:r>
                <w:rPr>
                  <w:rStyle w:val="InternetLink"/>
                  <w:rFonts w:ascii="Times New Roman;Times;serif" w:hAnsi="Times New Roman;Times;serif"/>
                  <w:b w:val="false"/>
                  <w:i w:val="false"/>
                  <w:caps w:val="false"/>
                  <w:smallCaps w:val="false"/>
                  <w:sz w:val="20"/>
                </w:rPr>
                <w:t>1A.</w:t>
              </w:r>
            </w:hyperlink>
          </w:p>
        </w:tc>
        <w:tc>
          <w:tcPr>
            <w:tcW w:w="8463" w:type="dxa"/>
            <w:tcBorders/>
            <w:vAlign w:val="center"/>
          </w:tcPr>
          <w:p>
            <w:pPr>
              <w:pStyle w:val="TableContents"/>
              <w:bidi w:val="0"/>
              <w:spacing w:before="0" w:after="0"/>
              <w:ind w:left="0" w:right="0" w:hanging="0"/>
              <w:jc w:val="left"/>
              <w:rPr/>
            </w:pPr>
            <w:hyperlink w:anchor="ITEM1ARISKFACTORS_696248">
              <w:r>
                <w:rPr>
                  <w:rStyle w:val="InternetLink"/>
                  <w:rFonts w:ascii="Times New Roman;Times;serif" w:hAnsi="Times New Roman;Times;serif"/>
                  <w:b w:val="false"/>
                  <w:i w:val="false"/>
                  <w:caps w:val="false"/>
                  <w:smallCaps w:val="false"/>
                  <w:sz w:val="20"/>
                </w:rPr>
                <w:t>Risk Factors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before="0" w:after="0"/>
              <w:ind w:left="0" w:right="0" w:hanging="0"/>
              <w:jc w:val="left"/>
              <w:rPr/>
            </w:pPr>
            <w:hyperlink w:anchor="ITEM1BUNRESOLVEDSTAFFCOMMENTS_222240">
              <w:r>
                <w:rPr>
                  <w:rStyle w:val="InternetLink"/>
                  <w:rFonts w:ascii="Times New Roman;Times;serif" w:hAnsi="Times New Roman;Times;serif"/>
                  <w:b w:val="false"/>
                  <w:i w:val="false"/>
                  <w:caps w:val="false"/>
                  <w:smallCaps w:val="false"/>
                  <w:sz w:val="20"/>
                </w:rPr>
                <w:t>1B.</w:t>
              </w:r>
            </w:hyperlink>
          </w:p>
        </w:tc>
        <w:tc>
          <w:tcPr>
            <w:tcW w:w="8463" w:type="dxa"/>
            <w:tcBorders/>
            <w:vAlign w:val="center"/>
          </w:tcPr>
          <w:p>
            <w:pPr>
              <w:pStyle w:val="TableContents"/>
              <w:bidi w:val="0"/>
              <w:spacing w:before="0" w:after="0"/>
              <w:ind w:left="0" w:right="0" w:hanging="0"/>
              <w:jc w:val="left"/>
              <w:rPr/>
            </w:pPr>
            <w:hyperlink w:anchor="ITEM1BUNRESOLVEDSTAFFCOMMENTS_222240">
              <w:r>
                <w:rPr>
                  <w:rStyle w:val="InternetLink"/>
                  <w:rFonts w:ascii="Times New Roman;Times;serif" w:hAnsi="Times New Roman;Times;serif"/>
                  <w:b w:val="false"/>
                  <w:i w:val="false"/>
                  <w:caps w:val="false"/>
                  <w:smallCaps w:val="false"/>
                  <w:sz w:val="20"/>
                </w:rPr>
                <w:t>Unresolved Staff Comments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841" w:type="dxa"/>
            <w:tcBorders/>
            <w:vAlign w:val="center"/>
          </w:tcPr>
          <w:p>
            <w:pPr>
              <w:pStyle w:val="TableContents"/>
              <w:bidi w:val="0"/>
              <w:spacing w:before="0" w:after="0"/>
              <w:ind w:left="0" w:right="0" w:hanging="0"/>
              <w:jc w:val="left"/>
              <w:rPr/>
            </w:pPr>
            <w:hyperlink w:anchor="ITEM1CYBERSECURITY">
              <w:r>
                <w:rPr>
                  <w:rStyle w:val="InternetLink"/>
                  <w:rFonts w:ascii="Times New Roman;Times;serif" w:hAnsi="Times New Roman;Times;serif"/>
                  <w:b w:val="false"/>
                  <w:i w:val="false"/>
                  <w:caps w:val="false"/>
                  <w:smallCaps w:val="false"/>
                  <w:sz w:val="20"/>
                </w:rPr>
                <w:t>1C.</w:t>
              </w:r>
            </w:hyperlink>
          </w:p>
        </w:tc>
        <w:tc>
          <w:tcPr>
            <w:tcW w:w="8463" w:type="dxa"/>
            <w:tcBorders/>
            <w:vAlign w:val="center"/>
          </w:tcPr>
          <w:p>
            <w:pPr>
              <w:pStyle w:val="TableContents"/>
              <w:bidi w:val="0"/>
              <w:spacing w:before="0" w:after="0"/>
              <w:ind w:left="0" w:right="0" w:hanging="0"/>
              <w:jc w:val="left"/>
              <w:rPr/>
            </w:pPr>
            <w:hyperlink w:anchor="ITEM1CYBERSECURITY">
              <w:r>
                <w:rPr>
                  <w:rStyle w:val="InternetLink"/>
                  <w:rFonts w:ascii="Times New Roman;Times;serif" w:hAnsi="Times New Roman;Times;serif"/>
                  <w:b w:val="false"/>
                  <w:i w:val="false"/>
                  <w:caps w:val="false"/>
                  <w:smallCaps w:val="false"/>
                  <w:sz w:val="20"/>
                </w:rPr>
                <w:t>Cybersecurity</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841" w:type="dxa"/>
            <w:tcBorders/>
            <w:vAlign w:val="center"/>
          </w:tcPr>
          <w:p>
            <w:pPr>
              <w:pStyle w:val="TableContents"/>
              <w:bidi w:val="0"/>
              <w:spacing w:before="0" w:after="0"/>
              <w:ind w:left="0" w:right="0" w:hanging="0"/>
              <w:jc w:val="left"/>
              <w:rPr/>
            </w:pPr>
            <w:hyperlink w:anchor="ITEM2PROPERTIES_129340">
              <w:r>
                <w:rPr>
                  <w:rStyle w:val="InternetLink"/>
                  <w:rFonts w:ascii="Times New Roman;Times;serif" w:hAnsi="Times New Roman;Times;serif"/>
                  <w:b w:val="false"/>
                  <w:i w:val="false"/>
                  <w:caps w:val="false"/>
                  <w:smallCaps w:val="false"/>
                  <w:sz w:val="20"/>
                </w:rPr>
                <w:t>2.</w:t>
              </w:r>
            </w:hyperlink>
          </w:p>
        </w:tc>
        <w:tc>
          <w:tcPr>
            <w:tcW w:w="8463" w:type="dxa"/>
            <w:tcBorders/>
            <w:vAlign w:val="center"/>
          </w:tcPr>
          <w:p>
            <w:pPr>
              <w:pStyle w:val="TableContents"/>
              <w:bidi w:val="0"/>
              <w:spacing w:before="0" w:after="0"/>
              <w:ind w:left="0" w:right="0" w:hanging="0"/>
              <w:jc w:val="left"/>
              <w:rPr/>
            </w:pPr>
            <w:hyperlink w:anchor="ITEM2PROPERTIES_129340">
              <w:r>
                <w:rPr>
                  <w:rStyle w:val="InternetLink"/>
                  <w:rFonts w:ascii="Times New Roman;Times;serif" w:hAnsi="Times New Roman;Times;serif"/>
                  <w:b w:val="false"/>
                  <w:i w:val="false"/>
                  <w:caps w:val="false"/>
                  <w:smallCaps w:val="false"/>
                  <w:sz w:val="20"/>
                </w:rPr>
                <w:t>Properties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41" w:type="dxa"/>
            <w:tcBorders/>
            <w:vAlign w:val="center"/>
          </w:tcPr>
          <w:p>
            <w:pPr>
              <w:pStyle w:val="TableContents"/>
              <w:bidi w:val="0"/>
              <w:spacing w:before="0" w:after="0"/>
              <w:ind w:left="0" w:right="0" w:hanging="0"/>
              <w:jc w:val="left"/>
              <w:rPr/>
            </w:pPr>
            <w:hyperlink w:anchor="ITEM3LEGALPROCEEDINGS_683614">
              <w:r>
                <w:rPr>
                  <w:rStyle w:val="InternetLink"/>
                  <w:rFonts w:ascii="Times New Roman;Times;serif" w:hAnsi="Times New Roman;Times;serif"/>
                  <w:b w:val="false"/>
                  <w:i w:val="false"/>
                  <w:caps w:val="false"/>
                  <w:smallCaps w:val="false"/>
                  <w:sz w:val="20"/>
                </w:rPr>
                <w:t>3.</w:t>
              </w:r>
            </w:hyperlink>
          </w:p>
        </w:tc>
        <w:tc>
          <w:tcPr>
            <w:tcW w:w="8463" w:type="dxa"/>
            <w:tcBorders/>
            <w:vAlign w:val="center"/>
          </w:tcPr>
          <w:p>
            <w:pPr>
              <w:pStyle w:val="TableContents"/>
              <w:bidi w:val="0"/>
              <w:spacing w:before="0" w:after="0"/>
              <w:ind w:left="0" w:right="0" w:hanging="0"/>
              <w:jc w:val="left"/>
              <w:rPr/>
            </w:pPr>
            <w:hyperlink w:anchor="ITEM3LEGALPROCEEDINGS_683614">
              <w:r>
                <w:rPr>
                  <w:rStyle w:val="InternetLink"/>
                  <w:rFonts w:ascii="Times New Roman;Times;serif" w:hAnsi="Times New Roman;Times;serif"/>
                  <w:b w:val="false"/>
                  <w:i w:val="false"/>
                  <w:caps w:val="false"/>
                  <w:smallCaps w:val="false"/>
                  <w:sz w:val="20"/>
                </w:rPr>
                <w:t>Legal Proceedings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41" w:type="dxa"/>
            <w:tcBorders/>
            <w:vAlign w:val="center"/>
          </w:tcPr>
          <w:p>
            <w:pPr>
              <w:pStyle w:val="TableContents"/>
              <w:bidi w:val="0"/>
              <w:spacing w:before="0" w:after="0"/>
              <w:ind w:left="0" w:right="0" w:hanging="0"/>
              <w:jc w:val="left"/>
              <w:rPr/>
            </w:pPr>
            <w:hyperlink w:anchor="ITEM4MINESAFETYDISCLOSURES_792170">
              <w:r>
                <w:rPr>
                  <w:rStyle w:val="InternetLink"/>
                  <w:rFonts w:ascii="Times New Roman;Times;serif" w:hAnsi="Times New Roman;Times;serif"/>
                  <w:b w:val="false"/>
                  <w:i w:val="false"/>
                  <w:caps w:val="false"/>
                  <w:smallCaps w:val="false"/>
                  <w:sz w:val="20"/>
                </w:rPr>
                <w:t>4.</w:t>
              </w:r>
            </w:hyperlink>
          </w:p>
        </w:tc>
        <w:tc>
          <w:tcPr>
            <w:tcW w:w="8463" w:type="dxa"/>
            <w:tcBorders/>
            <w:vAlign w:val="center"/>
          </w:tcPr>
          <w:p>
            <w:pPr>
              <w:pStyle w:val="TableContents"/>
              <w:bidi w:val="0"/>
              <w:spacing w:before="0" w:after="0"/>
              <w:ind w:left="0" w:right="0" w:hanging="0"/>
              <w:jc w:val="left"/>
              <w:rPr/>
            </w:pPr>
            <w:hyperlink w:anchor="ITEM4MINESAFETYDISCLOSURES_792170">
              <w:r>
                <w:rPr>
                  <w:rStyle w:val="InternetLink"/>
                  <w:rFonts w:ascii="Times New Roman;Times;serif" w:hAnsi="Times New Roman;Times;serif"/>
                  <w:b w:val="false"/>
                  <w:i w:val="false"/>
                  <w:caps w:val="false"/>
                  <w:smallCaps w:val="false"/>
                  <w:sz w:val="20"/>
                </w:rPr>
                <w:t>Mine Safety Disclosures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41" w:type="dxa"/>
            <w:tcBorders/>
            <w:vAlign w:val="center"/>
          </w:tcPr>
          <w:p>
            <w:pPr>
              <w:pStyle w:val="TableContents"/>
              <w:bidi w:val="0"/>
              <w:spacing w:before="0" w:after="0"/>
              <w:ind w:left="0" w:right="0" w:hanging="0"/>
              <w:jc w:val="left"/>
              <w:rPr/>
            </w:pPr>
            <w:r>
              <w:rPr/>
              <w:t>​</w:t>
            </w:r>
          </w:p>
        </w:tc>
        <w:tc>
          <w:tcPr>
            <w:tcW w:w="8463"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8463" w:type="dxa"/>
            <w:tcBorders/>
            <w:vAlign w:val="center"/>
          </w:tcPr>
          <w:p>
            <w:pPr>
              <w:pStyle w:val="TableContents"/>
              <w:bidi w:val="0"/>
              <w:spacing w:before="0" w:after="0"/>
              <w:ind w:left="0" w:right="0" w:hanging="0"/>
              <w:jc w:val="center"/>
              <w:rPr/>
            </w:pPr>
            <w:hyperlink w:anchor="PARTII_888744">
              <w:r>
                <w:rPr>
                  <w:rStyle w:val="InternetLink"/>
                  <w:rFonts w:ascii="Times New Roman;Times;serif" w:hAnsi="Times New Roman;Times;serif"/>
                  <w:b/>
                  <w:i w:val="false"/>
                  <w:caps w:val="false"/>
                  <w:smallCaps w:val="false"/>
                  <w:sz w:val="20"/>
                </w:rPr>
                <w:t>PART II</w:t>
              </w:r>
            </w:hyperlink>
          </w:p>
        </w:tc>
        <w:tc>
          <w:tcPr>
            <w:tcW w:w="901" w:type="dxa"/>
            <w:tcBorders/>
            <w:vAlign w:val="center"/>
          </w:tcPr>
          <w:p>
            <w:pPr>
              <w:pStyle w:val="TableContents"/>
              <w:bidi w:val="0"/>
              <w:spacing w:before="0" w:after="0"/>
              <w:ind w:left="0" w:right="0" w:hanging="0"/>
              <w:jc w:val="left"/>
              <w:rPr/>
            </w:pPr>
            <w:r>
              <w:rPr/>
              <w:t> </w:t>
            </w:r>
          </w:p>
        </w:tc>
      </w:tr>
      <w:tr>
        <w:trPr/>
        <w:tc>
          <w:tcPr>
            <w:tcW w:w="841"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5.</w:t>
              </w:r>
            </w:hyperlink>
          </w:p>
        </w:tc>
        <w:tc>
          <w:tcPr>
            <w:tcW w:w="8463" w:type="dxa"/>
            <w:tcBorders/>
            <w:vAlign w:val="center"/>
          </w:tcPr>
          <w:p>
            <w:pPr>
              <w:pStyle w:val="TableContents"/>
              <w:pBdr/>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41"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7.</w:t>
              </w:r>
            </w:hyperlink>
          </w:p>
        </w:tc>
        <w:tc>
          <w:tcPr>
            <w:tcW w:w="8463"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4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7A.</w:t>
              </w:r>
            </w:hyperlink>
          </w:p>
        </w:tc>
        <w:tc>
          <w:tcPr>
            <w:tcW w:w="8463"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4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8.</w:t>
              </w:r>
            </w:hyperlink>
          </w:p>
        </w:tc>
        <w:tc>
          <w:tcPr>
            <w:tcW w:w="8463"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4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9.</w:t>
              </w:r>
            </w:hyperlink>
          </w:p>
        </w:tc>
        <w:tc>
          <w:tcPr>
            <w:tcW w:w="8463"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41" w:type="dxa"/>
            <w:tcBorders/>
            <w:vAlign w:val="center"/>
          </w:tcPr>
          <w:p>
            <w:pPr>
              <w:pStyle w:val="TableContents"/>
              <w:bidi w:val="0"/>
              <w:spacing w:before="0" w:after="0"/>
              <w:ind w:left="0" w:right="0" w:hanging="0"/>
              <w:jc w:val="left"/>
              <w:rPr/>
            </w:pPr>
            <w:hyperlink w:anchor="ITEM9ACONTROLSANDPROCEDURES_174528">
              <w:r>
                <w:rPr>
                  <w:rStyle w:val="InternetLink"/>
                  <w:rFonts w:ascii="Times New Roman;Times;serif" w:hAnsi="Times New Roman;Times;serif"/>
                  <w:b w:val="false"/>
                  <w:i w:val="false"/>
                  <w:caps w:val="false"/>
                  <w:smallCaps w:val="false"/>
                  <w:sz w:val="20"/>
                </w:rPr>
                <w:t>9A.</w:t>
              </w:r>
            </w:hyperlink>
          </w:p>
        </w:tc>
        <w:tc>
          <w:tcPr>
            <w:tcW w:w="8463" w:type="dxa"/>
            <w:tcBorders/>
            <w:vAlign w:val="center"/>
          </w:tcPr>
          <w:p>
            <w:pPr>
              <w:pStyle w:val="TableContents"/>
              <w:bidi w:val="0"/>
              <w:spacing w:before="0" w:after="0"/>
              <w:ind w:left="0" w:right="0" w:hanging="0"/>
              <w:jc w:val="left"/>
              <w:rPr/>
            </w:pPr>
            <w:hyperlink w:anchor="ITEM9ACONTROLSANDPROCEDURES_174528">
              <w:r>
                <w:rPr>
                  <w:rStyle w:val="InternetLink"/>
                  <w:rFonts w:ascii="Times New Roman;Times;serif" w:hAnsi="Times New Roman;Times;serif"/>
                  <w:b w:val="false"/>
                  <w:i w:val="false"/>
                  <w:caps w:val="false"/>
                  <w:smallCaps w:val="false"/>
                  <w:sz w:val="20"/>
                </w:rPr>
                <w:t>Controls and Procedures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41" w:type="dxa"/>
            <w:tcBorders/>
            <w:vAlign w:val="center"/>
          </w:tcPr>
          <w:p>
            <w:pPr>
              <w:pStyle w:val="TableContents"/>
              <w:bidi w:val="0"/>
              <w:spacing w:before="0" w:after="0"/>
              <w:ind w:left="0" w:right="0" w:hanging="0"/>
              <w:jc w:val="left"/>
              <w:rPr/>
            </w:pPr>
            <w:hyperlink w:anchor="ITEM9BOTHERINFORMATION_839188">
              <w:r>
                <w:rPr>
                  <w:rStyle w:val="InternetLink"/>
                  <w:rFonts w:ascii="Times New Roman;Times;serif" w:hAnsi="Times New Roman;Times;serif"/>
                  <w:b w:val="false"/>
                  <w:i w:val="false"/>
                  <w:caps w:val="false"/>
                  <w:smallCaps w:val="false"/>
                  <w:sz w:val="20"/>
                </w:rPr>
                <w:t>9B.</w:t>
              </w:r>
            </w:hyperlink>
          </w:p>
        </w:tc>
        <w:tc>
          <w:tcPr>
            <w:tcW w:w="8463" w:type="dxa"/>
            <w:tcBorders/>
            <w:vAlign w:val="center"/>
          </w:tcPr>
          <w:p>
            <w:pPr>
              <w:pStyle w:val="TableContents"/>
              <w:bidi w:val="0"/>
              <w:spacing w:before="0" w:after="0"/>
              <w:ind w:left="0" w:right="0" w:hanging="0"/>
              <w:jc w:val="left"/>
              <w:rPr/>
            </w:pPr>
            <w:hyperlink w:anchor="ITEM9BOTHERINFORMATION_839188">
              <w:r>
                <w:rPr>
                  <w:rStyle w:val="InternetLink"/>
                  <w:rFonts w:ascii="Times New Roman;Times;serif" w:hAnsi="Times New Roman;Times;serif"/>
                  <w:b w:val="false"/>
                  <w:i w:val="false"/>
                  <w:caps w:val="false"/>
                  <w:smallCaps w:val="false"/>
                  <w:sz w:val="20"/>
                </w:rPr>
                <w:t>Other Information</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41"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9C.</w:t>
              </w:r>
            </w:hyperlink>
          </w:p>
        </w:tc>
        <w:tc>
          <w:tcPr>
            <w:tcW w:w="8463"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41" w:type="dxa"/>
            <w:tcBorders/>
            <w:vAlign w:val="center"/>
          </w:tcPr>
          <w:p>
            <w:pPr>
              <w:pStyle w:val="TableContents"/>
              <w:bidi w:val="0"/>
              <w:spacing w:before="0" w:after="0"/>
              <w:ind w:left="0" w:right="0" w:hanging="0"/>
              <w:jc w:val="left"/>
              <w:rPr/>
            </w:pPr>
            <w:r>
              <w:rPr/>
              <w:t>​</w:t>
            </w:r>
          </w:p>
        </w:tc>
        <w:tc>
          <w:tcPr>
            <w:tcW w:w="8463"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8463" w:type="dxa"/>
            <w:tcBorders/>
            <w:vAlign w:val="center"/>
          </w:tcPr>
          <w:p>
            <w:pPr>
              <w:pStyle w:val="TableContents"/>
              <w:bidi w:val="0"/>
              <w:spacing w:before="0" w:after="0"/>
              <w:ind w:left="0" w:right="0" w:hanging="0"/>
              <w:jc w:val="center"/>
              <w:rPr/>
            </w:pPr>
            <w:hyperlink w:anchor="PARTIII_230515">
              <w:r>
                <w:rPr>
                  <w:rStyle w:val="InternetLink"/>
                  <w:rFonts w:ascii="Times New Roman;Times;serif" w:hAnsi="Times New Roman;Times;serif"/>
                  <w:b/>
                  <w:i w:val="false"/>
                  <w:caps w:val="false"/>
                  <w:smallCaps w:val="false"/>
                  <w:sz w:val="20"/>
                </w:rPr>
                <w:t>PART III</w:t>
              </w:r>
            </w:hyperlink>
          </w:p>
        </w:tc>
        <w:tc>
          <w:tcPr>
            <w:tcW w:w="901" w:type="dxa"/>
            <w:tcBorders/>
            <w:vAlign w:val="center"/>
          </w:tcPr>
          <w:p>
            <w:pPr>
              <w:pStyle w:val="TableContents"/>
              <w:bidi w:val="0"/>
              <w:spacing w:before="0" w:after="0"/>
              <w:ind w:left="0" w:right="0" w:hanging="0"/>
              <w:jc w:val="left"/>
              <w:rPr/>
            </w:pPr>
            <w:r>
              <w:rPr/>
              <w:t> </w:t>
            </w:r>
          </w:p>
        </w:tc>
      </w:tr>
      <w:tr>
        <w:trPr/>
        <w:tc>
          <w:tcPr>
            <w:tcW w:w="84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10.</w:t>
              </w:r>
            </w:hyperlink>
          </w:p>
        </w:tc>
        <w:tc>
          <w:tcPr>
            <w:tcW w:w="8463"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41" w:type="dxa"/>
            <w:tcBorders/>
            <w:vAlign w:val="center"/>
          </w:tcPr>
          <w:p>
            <w:pPr>
              <w:pStyle w:val="TableContents"/>
              <w:bidi w:val="0"/>
              <w:spacing w:before="0" w:after="0"/>
              <w:ind w:left="0" w:right="0" w:hanging="0"/>
              <w:jc w:val="left"/>
              <w:rPr/>
            </w:pPr>
            <w:hyperlink w:anchor="ITEM11EXECUTIVECOMPENSATION_662096">
              <w:r>
                <w:rPr>
                  <w:rStyle w:val="InternetLink"/>
                  <w:rFonts w:ascii="Times New Roman;Times;serif" w:hAnsi="Times New Roman;Times;serif"/>
                  <w:b w:val="false"/>
                  <w:i w:val="false"/>
                  <w:caps w:val="false"/>
                  <w:smallCaps w:val="false"/>
                  <w:sz w:val="20"/>
                </w:rPr>
                <w:t>11.</w:t>
              </w:r>
            </w:hyperlink>
          </w:p>
        </w:tc>
        <w:tc>
          <w:tcPr>
            <w:tcW w:w="8463" w:type="dxa"/>
            <w:tcBorders/>
            <w:vAlign w:val="center"/>
          </w:tcPr>
          <w:p>
            <w:pPr>
              <w:pStyle w:val="TableContents"/>
              <w:bidi w:val="0"/>
              <w:spacing w:before="0" w:after="0"/>
              <w:ind w:left="0" w:right="0" w:hanging="0"/>
              <w:jc w:val="left"/>
              <w:rPr/>
            </w:pPr>
            <w:hyperlink w:anchor="ITEM11EXECUTIVECOMPENSATION_662096">
              <w:r>
                <w:rPr>
                  <w:rStyle w:val="InternetLink"/>
                  <w:rFonts w:ascii="Times New Roman;Times;serif" w:hAnsi="Times New Roman;Times;serif"/>
                  <w:b w:val="false"/>
                  <w:i w:val="false"/>
                  <w:caps w:val="false"/>
                  <w:smallCaps w:val="false"/>
                  <w:sz w:val="20"/>
                </w:rPr>
                <w:t>Executive Compensation</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4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12.</w:t>
              </w:r>
            </w:hyperlink>
          </w:p>
        </w:tc>
        <w:tc>
          <w:tcPr>
            <w:tcW w:w="8463"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4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13.</w:t>
              </w:r>
            </w:hyperlink>
          </w:p>
        </w:tc>
        <w:tc>
          <w:tcPr>
            <w:tcW w:w="8463"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4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14.</w:t>
              </w:r>
            </w:hyperlink>
          </w:p>
        </w:tc>
        <w:tc>
          <w:tcPr>
            <w:tcW w:w="8463"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41" w:type="dxa"/>
            <w:tcBorders/>
            <w:vAlign w:val="center"/>
          </w:tcPr>
          <w:p>
            <w:pPr>
              <w:pStyle w:val="TableContents"/>
              <w:bidi w:val="0"/>
              <w:spacing w:before="0" w:after="0"/>
              <w:ind w:left="0" w:right="0" w:hanging="0"/>
              <w:jc w:val="left"/>
              <w:rPr/>
            </w:pPr>
            <w:r>
              <w:rPr/>
              <w:t>​</w:t>
            </w:r>
          </w:p>
        </w:tc>
        <w:tc>
          <w:tcPr>
            <w:tcW w:w="8463"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8463" w:type="dxa"/>
            <w:tcBorders/>
            <w:vAlign w:val="center"/>
          </w:tcPr>
          <w:p>
            <w:pPr>
              <w:pStyle w:val="TableContents"/>
              <w:bidi w:val="0"/>
              <w:spacing w:before="0" w:after="0"/>
              <w:ind w:left="0" w:right="0" w:hanging="0"/>
              <w:jc w:val="center"/>
              <w:rPr/>
            </w:pPr>
            <w:hyperlink w:anchor="PARTIV_477881">
              <w:r>
                <w:rPr>
                  <w:rStyle w:val="InternetLink"/>
                  <w:rFonts w:ascii="Times New Roman;Times;serif" w:hAnsi="Times New Roman;Times;serif"/>
                  <w:b/>
                  <w:i w:val="false"/>
                  <w:caps w:val="false"/>
                  <w:smallCaps w:val="false"/>
                  <w:sz w:val="20"/>
                </w:rPr>
                <w:t>PART IV</w:t>
              </w:r>
            </w:hyperlink>
          </w:p>
        </w:tc>
        <w:tc>
          <w:tcPr>
            <w:tcW w:w="90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15.</w:t>
              </w:r>
            </w:hyperlink>
          </w:p>
        </w:tc>
        <w:tc>
          <w:tcPr>
            <w:tcW w:w="8463"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41" w:type="dxa"/>
            <w:tcBorders/>
            <w:vAlign w:val="center"/>
          </w:tcPr>
          <w:p>
            <w:pPr>
              <w:pStyle w:val="TableContents"/>
              <w:bidi w:val="0"/>
              <w:spacing w:before="0" w:after="0"/>
              <w:ind w:left="0" w:right="0" w:hanging="0"/>
              <w:jc w:val="left"/>
              <w:rPr/>
            </w:pPr>
            <w:hyperlink w:anchor="ITEM16FORM10KSUMMARY_736369">
              <w:r>
                <w:rPr>
                  <w:rStyle w:val="InternetLink"/>
                  <w:rFonts w:ascii="Times New Roman;Times;serif" w:hAnsi="Times New Roman;Times;serif"/>
                  <w:b w:val="false"/>
                  <w:i w:val="false"/>
                  <w:caps w:val="false"/>
                  <w:smallCaps w:val="false"/>
                  <w:sz w:val="20"/>
                </w:rPr>
                <w:t>16.</w:t>
              </w:r>
            </w:hyperlink>
          </w:p>
        </w:tc>
        <w:tc>
          <w:tcPr>
            <w:tcW w:w="8463" w:type="dxa"/>
            <w:tcBorders/>
            <w:vAlign w:val="center"/>
          </w:tcPr>
          <w:p>
            <w:pPr>
              <w:pStyle w:val="TableContents"/>
              <w:bidi w:val="0"/>
              <w:spacing w:before="0" w:after="0"/>
              <w:ind w:left="0" w:right="0" w:hanging="0"/>
              <w:jc w:val="left"/>
              <w:rPr/>
            </w:pPr>
            <w:hyperlink w:anchor="ITEM16FORM10KSUMMARY_736369">
              <w:r>
                <w:rPr>
                  <w:rStyle w:val="InternetLink"/>
                  <w:rFonts w:ascii="Times New Roman;Times;serif" w:hAnsi="Times New Roman;Times;serif"/>
                  <w:b w:val="false"/>
                  <w:i w:val="false"/>
                  <w:caps w:val="false"/>
                  <w:smallCaps w:val="false"/>
                  <w:sz w:val="20"/>
                </w:rPr>
                <w:t>Form 10-K Summary</w:t>
              </w:r>
            </w:hyperlink>
          </w:p>
        </w:tc>
        <w:tc>
          <w:tcPr>
            <w:tcW w:w="901" w:type="dxa"/>
            <w:tcBorders/>
            <w:vAlign w:val="center"/>
          </w:tcPr>
          <w:p>
            <w:pPr>
              <w:pStyle w:val="TableContents"/>
              <w:bidi w:val="0"/>
              <w:spacing w:before="0" w:after="0"/>
              <w:ind w:left="18" w:right="0" w:hanging="0"/>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 w:name="PARTI_124859"/>
      <w:bookmarkStart w:id="56" w:name="_595ba31d_b7a7_489f_be60_24e90bc3d471"/>
      <w:bookmarkEnd w:id="55"/>
      <w:bookmarkEnd w:id="56"/>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57" w:name="ITEM1BUSINESS_795508"/>
      <w:bookmarkEnd w:id="57"/>
      <w:r>
        <w:rPr>
          <w:rFonts w:ascii="Times New Roman;Times;serif" w:hAnsi="Times New Roman;Times;serif"/>
          <w:b/>
          <w:sz w:val="20"/>
        </w:rPr>
        <w:t>ITEM 1.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Dillard’s, Inc. (“Dillard’s”, the “Company”, “we”, “us”, “our” or “Registrant”) ranks among the nation’s largest fashion apparel, cosmetics and home furnishing retailers. The Company, originally founded in 1938 by William T. Dillard, was incorporated in Delaware in 1964 (and was reincorporated in Texas in 2025). As of January 31, 2026, we operated 271 Dillard’s stores, including 28 clearance centers, and an Internet store at dillards.com offering a wide selection of merchandise including fashion apparel for women, men and children, accessories, cosmetics, home furnishings and other consumer goods. The Company also operates a general contracting construction company, CDI Contractors, LLC (“CDI”), a portion of whose business includes constructing and remodeling stores for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percentage of net sales by segment and major product line:</w:t>
      </w:r>
    </w:p>
    <w:tbl>
      <w:tblPr>
        <w:tblW w:w="6833" w:type="dxa"/>
        <w:jc w:val="left"/>
        <w:tblInd w:w="0" w:type="dxa"/>
        <w:tblLayout w:type="fixed"/>
        <w:tblCellMar>
          <w:top w:w="0" w:type="dxa"/>
          <w:left w:w="0" w:type="dxa"/>
          <w:bottom w:w="0" w:type="dxa"/>
          <w:right w:w="0" w:type="dxa"/>
        </w:tblCellMar>
      </w:tblPr>
      <w:tblGrid>
        <w:gridCol w:w="2656"/>
        <w:gridCol w:w="346"/>
        <w:gridCol w:w="931"/>
        <w:gridCol w:w="361"/>
        <w:gridCol w:w="931"/>
        <w:gridCol w:w="361"/>
        <w:gridCol w:w="931"/>
        <w:gridCol w:w="31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686560" cy="175260"/>
                      <wp:effectExtent l="0" t="0" r="0" b="0"/>
                      <wp:wrapNone/>
                      <wp:docPr id="11" name="Frame1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3"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29235" cy="175260"/>
                      <wp:effectExtent l="0" t="0" r="0" b="0"/>
                      <wp:wrapNone/>
                      <wp:docPr id="14" name="Frame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91185" cy="175260"/>
                      <wp:effectExtent l="0" t="0" r="0" b="0"/>
                      <wp:wrapNone/>
                      <wp:docPr id="15" name="Frame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9235" cy="175260"/>
                      <wp:effectExtent l="0" t="0" r="0" b="0"/>
                      <wp:wrapNone/>
                      <wp:docPr id="16" name="Frame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1185" cy="175260"/>
                      <wp:effectExtent l="0" t="0" r="0" b="0"/>
                      <wp:wrapNone/>
                      <wp:docPr id="17" name="Frame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0660" cy="175260"/>
                      <wp:effectExtent l="0" t="0" r="0" b="0"/>
                      <wp:wrapNone/>
                      <wp:docPr id="18" name="Frame1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of Net Sales</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6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61"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Cosmetics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apparel</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accessories and lingerie</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Juniors' and children's apparel</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Men's apparel and accessories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Shoes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and furniture</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 information regarding our business, results of operations and financial condition, including information pertaining to our reporting segments, can be found in Management’s Discussion and Analysis of Financial Condition and Results of Operations in Item 7 hereof and in Note 2 in the “Notes to Consolidated Financial Statements” in Item 8 hereof.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Customers may visit us in person at any of our retail stores located primarily in shopping malls and open-air centers throughout the southwest, southeast and midwest regions of the United States. Our customers may also visit us online at our e-Commerce site, dillards.com, gaining company-wide access to in-store merchandise selections across 30 states as well as in our fulfillment and distribution centers. Customers also have the option to buy online and pickup in store or have their orders shipped directly to their desired location. Dillards.com also serves as a key customer engagement tool with continually updated style and trend content to both educate and inspire our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retail merchandise business is conducted under highly competitive conditions. Although we are a large regional department store, we have numerous competitors at the national and local level that compete with our individual stores, including specialty, off-price, discount and Internet retailers. Competition is characterized by many factors including location, reputation, merchandise assortment, advertising, price, quality, operating efficiency, service and credit availability. We believe that our stores are in a strong competitive position with regard to each of these factors. Other retailers may compete for customers on some or all of these factors, or on other factors, and may be perceived by some potential customers as being better aligned with their particular preferences.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merchandise selections include, but are not limited to, our lines of exclusive brand merchandise such as Antonio Melani, Gianni Bini, GB, Roundtree &amp; Yorke and Daniel Cremieux. Our exclusive brands/private label merchandise program provides benefits for Dillard’s and our customers. Our customers receive fashionable, higher quality product often at a savings compared to national brands. Our private label merchandise program allows us to ensure the Company’s high standards are achieved, while minimizing costs and differentiating our merchandise offerings from other retailers.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made a significant investment in our trademark and license portfolio, in terms of design function, advertising, quality control and quick response to market trends in a quality manufacturing environment. Dillard’s trademark registrations are maintained for as long as Dillard’s holds the exclusive right to use the trademarks on the listed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merchandising, sales promotion and store operating support functions are conducted primarily at our corporate headquarters. Our back office sales support functions, such as accounting, product development, store planning and information technology, are also centralized.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developed a knowledge of each of our trade areas and customer bases for our stores. This knowledge is enhanced through regular store visits by senior management and merchandising personnel and through the use of online merchandise information and is supported by our regional merchandising offices. We will continue to use existing technology and research to edit merchandise assortments by store to meet the specific preference, taste and size requirements of each local operating area.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Wells Fargo Bank, N.A. (“Wells Fargo”) previously owned and managed Dillard’s private label credit cards, including credit cards co-branded with American Express under a long-term marketing and servicing alliance (“Wells Fargo Alliance”). </w:t>
      </w:r>
      <w:r>
        <w:rPr>
          <w:rFonts w:ascii="Times New Roman;Times;serif" w:hAnsi="Times New Roman;Times;serif"/>
          <w:sz w:val="20"/>
        </w:rPr>
        <w:t>In January 2024, the Company announced that it entered into a new agreement with Citibank, N.A. (“Citi”) to provide the private label credit card program for Dillard’s customers under a new alliance (“Citibank Alliance”), replacing the existing credit card program under the Wells Fargo Alliance upon its termination in September 2024. The new program launched on August 19, 2024 for new Dillard’s credit applicants. Existing accounts transferred from Wells Fargo to Citi on September 16, 2024. The term of the new Citi agreement is 10 years with automatic extensions for successive two-year terms unless the agreement is terminated by either party in accordance with the terms and conditions of the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Citibank Alliance, Citi establishes, owns and manages Dillard’s private label credit cards, including a new co-branded Mastercard Incorporated card (“Mastercard,” collectively, the “private label cards”). The new co-branded Mastercard replaced the previous co-branded card. Citi retains the benefits and risks associated with the ownership of the private label card accounts, provides key customer service functions, including new account openings, transaction authorization, billing adjustments and customer inquiries, receives the finance charge income and incurs the bad debts associated with those accounts.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Pursuant to the Citibank Alliance, we receive on-going cash compensation from Citi based upon the portfolio’s earnings. The compensation received from the portfolio is determined monthly and has no recourse provisions.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participate in the marketing of the private label cards, which includes the cost of customer reward programs. Citi supports certain Dillard’s marketing and loyalty program activities related to the new program. </w:t>
      </w:r>
      <w:r>
        <w:rPr>
          <w:rFonts w:ascii="Times New Roman;Times;serif" w:hAnsi="Times New Roman;Times;serif"/>
          <w:color w:val="212529"/>
          <w:sz w:val="20"/>
        </w:rPr>
        <w:t>We seek to expand the number and use of the private label cards by, among other things, providing incentives to sales associates to encourage customers to make applications for new accounts, which generally can be opened while a customer is visiting one of our stores or online. Customers who open accounts are rewarded with discounts on future purchases. Private label card customers are sometimes offered advance notice of sale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earnings depend to a significant extent on the results of operations for the last quarter of our fiscal year. Due to holiday buying patterns, sales for that period average approximately one-third of annual sales. Additionally, working capital requirements fluctuate during the year, increasing during the second half of the year in anticipation of the holiday season.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purchase merchandise from many sources and do not believe that we are dependent on any one supplier. We have no long-term purchase commitments or arrangements with any of our suppliers, but we consider our relationships to be strong and mutually beneficial.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fiscal year ends on the Saturday nearest January 31 of each year. Fiscal year 2025 ended on January 31, 2026 and contained 52 weeks. Fiscal year 2024 ended on February 1, 2025 and contained 52 weeks. Fiscal year 2023 ended on February 3, 2024 and contained 53 weeks.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Human Capital</w:t>
      </w:r>
    </w:p>
    <w:p>
      <w:pPr>
        <w:pStyle w:val="TextBody"/>
        <w:bidi w:val="0"/>
        <w:spacing w:lineRule="auto" w:line="240" w:before="0" w:after="240"/>
        <w:ind w:left="0" w:right="0" w:firstLine="360"/>
        <w:jc w:val="left"/>
        <w:rPr>
          <w:rFonts w:ascii="Times New Roman;Times;serif" w:hAnsi="Times New Roman;Times;serif"/>
          <w:sz w:val="20"/>
        </w:rPr>
      </w:pPr>
      <w:r>
        <w:rPr>
          <w:rFonts w:ascii="CG Times" w:hAnsi="CG Times"/>
          <w:sz w:val="20"/>
        </w:rPr>
        <w:t>As of December 20, 2025, the Company employed approximately 29,100 associates. Approximately 20,400 were full-time associates (greater than 35 hours per week), 6,400 were part-time associates (20-35 hours per week) and 2,300 were limited status associates (less than 20 hours per week).</w:t>
      </w:r>
      <w:r>
        <w:rPr>
          <w:rFonts w:ascii="CG Times" w:hAnsi="CG Times"/>
          <w:sz w:val="15"/>
        </w:rPr>
        <w:t>1</w:t>
      </w:r>
      <w:r>
        <w:rPr>
          <w:rFonts w:ascii="Times New Roman;Times;serif" w:hAnsi="Times New Roman;Times;serif"/>
          <w:sz w:val="20"/>
        </w:rPr>
        <w:t xml:space="preserve"> </w:t>
      </w:r>
      <w:r>
        <w:rPr>
          <w:rFonts w:ascii="CG Times" w:hAnsi="CG Times"/>
          <w:sz w:val="20"/>
        </w:rPr>
        <w:t>None of our associates are represented by a union.</w:t>
      </w:r>
    </w:p>
    <w:p>
      <w:pPr>
        <w:pStyle w:val="TextBody"/>
        <w:bidi w:val="0"/>
        <w:spacing w:before="0" w:after="240"/>
        <w:ind w:left="0" w:right="0" w:firstLine="360"/>
        <w:jc w:val="left"/>
        <w:rPr>
          <w:rFonts w:ascii="CG Times" w:hAnsi="CG Times"/>
          <w:sz w:val="20"/>
        </w:rPr>
      </w:pPr>
      <w:r>
        <w:rPr>
          <w:rFonts w:ascii="CG Times" w:hAnsi="CG Times"/>
          <w:sz w:val="20"/>
        </w:rPr>
        <w:t>As a department store chain, the Company employs a wide range of associates, including sales associates, management professionals, maintenance professionals, call center associates, distribution center associates, buyers, advertising and back office personnel. Given the breadth of our employee base, we tailor our human capital management efforts with a view to specific associate populations.</w:t>
      </w:r>
    </w:p>
    <w:p>
      <w:pPr>
        <w:pStyle w:val="TextBody"/>
        <w:bidi w:val="0"/>
        <w:spacing w:before="0" w:after="240"/>
        <w:ind w:left="0" w:right="0" w:firstLine="360"/>
        <w:jc w:val="left"/>
        <w:rPr>
          <w:rFonts w:ascii="CG Times" w:hAnsi="CG Times"/>
          <w:sz w:val="20"/>
        </w:rPr>
      </w:pPr>
      <w:r>
        <w:rPr>
          <w:rFonts w:ascii="CG Times" w:hAnsi="CG Times"/>
          <w:sz w:val="20"/>
        </w:rPr>
        <w:t>Of the Company’s full-time associates, approximately 87% work in the retail stores. We focus on attracting and retaining excellent associates at the store level by providing compensation and benefits packages that are competitive within the applicable market.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Training and talent development</w:t>
      </w:r>
      <w:r>
        <w:rPr>
          <w:rFonts w:ascii="Times New Roman;Times;serif" w:hAnsi="Times New Roman;Times;serif"/>
          <w:sz w:val="20"/>
        </w:rPr>
        <w:t xml:space="preserve">. The Company develops talent by investing in formalized classroom training, specialized training for our sales management team, ongoing mentorship programs and on-the-job experience. We seek to create an engaged workforce through open door policies and promotion opportunities. The Company’s philosophy is to develop talent and promote from within our organization, thus providing a better customer service model due to a deeper understanding of the overall business and our customers’ expectations. Career paths and opportunities for promotion are discussed with associates from the first day of training and on an ongoing basis. In order to ensure that qualified candidates are aware of store promotion opportunities, each store is directed to post promotion opportunities for supervisory positions.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20, 2025, approximately 75% of the salaried managers at our stores were promoted from hourly store positions.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Available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contained on our website is not incorporated by reference into this Annual Report on Form 10-K (this “Annual Report”) and should not be considered to be a part of this Annual Report. Our annual reports on Form 10-K, quarterly reports on Form 10-Q, current reports on Form 8-K, statements of changes in beneficial ownership of securities on Form 4 and Form 5 and amendments to those reports filed or furnished with the SEC pursuant to Sections 13(a), 15(d) or 16 of the Securities Exchange Act of 1934, as amended (the “Exchange Act”), as applicable, are available free of charge (as soon as reasonably practicable after we electronically file such material with, or furnish it to, the SEC) on the Dillard’s, Inc. investor relations website: investor.dillards.com. Copies may also be obtained through the SEC’s EDGAR website: sec.gov.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adopted a Code of Conduct and Corporate Governance Guidelines, as required by the listing standards of the New York Stock Exchange and the rules of the SEC. We have posted on our investor relations website our Code of Conduct, Corporate Governance Guidelines, Social Accountability Policy, our most recent Social Accountability Report, our most recent report on climate change mitigation efforts and committee charters for the Audit Committee of the Board of Directors and the Stock Option and Executive Compensation Committee of the Board of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corporate offices are located at 1600 Cantrell Road, Little Rock, Arkansas 72201, telephone: 501-376-5200.</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For purposes of this section, all figures are based on calendar year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8" w:name="ITEM1ARISKFACTORS_696248"/>
      <w:bookmarkStart w:id="59" w:name="_63fc3f67_fc49_495f_8eba_850d0b0453a6"/>
      <w:bookmarkEnd w:id="58"/>
      <w:bookmarkEnd w:id="59"/>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risks described in this Item 1A, Risk Factors, of this Annual Report could materially and adversely affect our business, financial condition and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cautions that forward-looking statements, as such term is defined in the Private Securities Litigation Reform Act of 1995, contained in this Annual Report are based on estimates, projections, beliefs and assumptions of management at the time of such statements and are not guarantees of future performance. The Company disclaims any obligation to update or revise any forward-looking statements based on the occurrence of future events, the receipt of new information, or otherwise. Forward-looking statements of the Company involve risks and uncertainties and are subject to change based on various important factors. Actual future performance, outcomes and results may differ materially from those expressed in forward-looking statements made by the Company and its management as a result of a number of risks, uncertainties and assumptions.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Retail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retail merchandise business is highly competitive, and that competition could lower our revenues, margins and market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retail merchandise business under highly competitive conditions. Competition is characterized by many factors including location, reputation, fashion, merchandise assortment, advertising, operating efficiency, price, quality, customer service and credit availability. We have numerous competitors nationally, locally and on the Internet, including conventional department stores, specialty retailers, off-price and discount stores, boutiques, mass merchants, and Internet and mail-order retailers. Although we are a large regional department store, some of our competitors are larger than us with greater financial resources and, as a result, may be able to devote greater resources to sourcing, promoting and selling their products. Additionally, we compete in certain markets with a substantial number of retailers that specialize in one or more types of merchandise that we sell. Also, online retail shopping continues to rapidly evolve, and we continue to expect competition in the e-commerce market to intensify in the future as the Internet facilitates competitive entry and comparison shopping. We anticipate that intense competition will continue from both existing competitors and new entrants. If we are unable to maintain our competitive position, we could experience downward pressure on prices, lower demand for products, reduced margins, the inability to take advantage of new business opportunities and the loss of market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seasonal, and fluctuations in our revenues during the last quarter of our fiscal year can have a disproportionate effect on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like many other retailers, is subject to seasonal influences, with a significant portion of sales and income typically realized during the last quarter of our fiscal year due to the holiday season. Our fiscal fourth-quarter results may fluctuate significantly, based on many factors, including holiday spending patterns and weather conditions, and any such fluctuation could have a disproportionate effect on our results of operations for the entire fiscal year. Because of the seasonality of our business, our operating results vary considerably from quarter to quarter, and results from any quarter are not necessarily indicative of the results that may be achieved for a full fiscal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shutdown of, or disruption in, any of the Company’s distribution or fulfillment centers would have an adverse effect on the Company’s business and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depends on the orderly operation of the process of receiving and distributing merchandise, which relies on adherence to shipping schedules and effective management of distribution or fulfillment centers. Although we believe that our receiving and distribution process is efficient and that we have appropriate contingency plans, unforeseen disruptions in operations due to fire, severe weather conditions, natural disasters or other catastrophic events, labor disagreements or other shipping problems may result in the loss of inventory and/or delays in the delivery of merchandise to our stores and customers, which could have an adverse effect on our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Current store locations may become less desirable, and desirable new locations may not be available for a reasonable price, if at all, either of which could adversely affect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generate customer traffic and for convenience of our customers, we attempt to locate our stores in desirable locations within shopping malls and open air centers. Our stores benefit from the abilities that our Company, other anchor tenants and other area attractions have to generate consumer traffic. Adverse changes in the development of new shopping malls in the United States, the availability or cost of appropriate locations within existing or new shopping malls, competition with other retailers for prominent locations, the success of individual shopping malls and the success or failure of other anchor tenants, the continued proper management and development of existing malls, or the continued popularity of shopping malls may continue to impact our ability to maintain or grow our sales in our existing stores, as well as our ability to open new stores, which could have an adverse effect on our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Ownership and leasing of significant amounts of real estate exposes us to possible liabilities and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own the land and building, or lease the land and/or the building, for all of our stores. Accordingly, we are subject to all of the risks associated with owning and leasing real estate. In particular, the value of our real estate assets could decrease, and their operating costs could increase, because of changes in the investment climate for real estate, demographic trends and supply or demand for the use of the store, which may result from competition from similar stores in the area. Additionally, we are subject to potential liability for environmental conditions on the property that we own or lease.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Furthermore, we are subject to risks related to poor management of shopping malls, including those malls that may be in financial distress or are currently under receivership. Some malls may be unable or unwilling to refinance debt maturities in the current credit market, leading to further risks related to temporary or new management by financial institutions or others. Such successors may be unable to effectively manage the shopping malls in which we operate.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an existing owned store is not profitable, and we decide to close it, we may be required to record an impairment charge and/or exit costs associated with the disposal of the store. We generally cannot cancel our leases. If an existing or future store is not profitable, and we decide to close it, we may be committed to perform certain obligations under the applicable lease including, among other things, paying the base rent for the balance of the lease term. In addition, as each of the leases expires, we may be unable to negotiate renewals, either on commercially acceptable terms or at all, which could cause us to close stores in desirable locations. We may not be able to close an unprofitable owned store due to an existing operating covenant which may cause us to operate the location at a loss and prevent us from finding a more desirable location. We have approximately 71 stores along the Gulf and Atlantic coasts that are covered by third-party insurance but are self-insured for property and merchandise losses related to “named storms.” As a result, the repair and replacement costs will be borne by us for damage to any of these stores from “named storms,” which could have an adverse effect on our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Variations in the amount of vendor allowances received could adversely impact our operating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receive vendor allowances for advertising, payroll and margin maintenance that are a strategic part of our operations. Decreased payroll reimbursements would either cause payroll costs to rise, negatively impacting operating income, or cause us to reduce the number of employees, which may cause a decline in sales. A decline in the amount of margin maintenance allowances would either increase cost of sales, which would negatively impact gross margin and operating income, or cause us to reduce merchandise purchases, which may cause a decline in sales.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decrease in cash flows from our operations and constraints to accessing other financing sources could limit our ability to fund our operations, capital projects, interest and debt repayments, stock repurchases and dividends.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business depends upon our operations to generate strong cash flow and to some extent upon the availability of financing sources to supply capital to fund our general operating activities, capital projects, interest and debt repayments, stock repurchases and dividends. Our inability to continue to generate sufficient cash flows to support these activities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lack of available financing in adequate amounts and on appropriate terms when needed could adversely affect our financial performance including our earnings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profitability may be adversely impacted by weather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merchandise assortments reflect assumptions regarding expected weather patterns and our profitability depends on our ability to timely deliver seasonally appropriate inventory. Unexpected or unseasonable weather conditions could render a portion of our inventory incompatible with consumer needs. For example, extended periods of unseasonably warm temperatures during the winter season or cool weather during the summer season could render a portion of the Company’s inventory incompatible with those unseasonable conditions. Additionally, extreme weather or natural disasters, particularly in the areas in which our stores are located, could also severely hinder our ability to timely deliver seasonally appropriate merchandise. For example, frequent or unusually heavy snowfall, ice storms, rainstorms, hurricanes or other extreme weather conditions over a prolonged period could make it difficult for the Company’s customers to travel to its stores and thereby reduce the Company’s sales and profitability. A reduction in the demand for or supply of our seasonal merchandise or reduced sales due to reduced customer traffic in our stores could have an adverse effect on our inventory levels, gross margins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Natural disasters, climate change, war, acts of violence, acts of terrorism, other armed conflicts, and public health issues may adversely impact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occurrence of, or threat of, a natural disaster, climate change, war (including the ongoing conflict with Iran and/or Iranian-sponsored actors, other conflicts in the Middle East, and the ongoing conflict in Ukraine and the resulting sanctions imposed on Russia by the U.S. and other countries), acts of violence, acts of terrorism, other armed conflicts, and public health issues could disrupt our operations, disrupt international trade and supply chain efficiencies, suppliers or customers, or result in political or economic instability. If commercial transportation is curtailed or substantially delayed, our business may be adversely impacted, as we may have difficulty shipping merchandise to our distribution centers, fulfillment centers, stores or directly to customers. In addition, concern about climate change and greenhouse gases may result in new or additional legal, legislative and/or regulatory requirements to reduce or mitigate the effects of climate change on the environment. Any such new requirements could increase our operating costs for things like energy or packaging, as well as our product supply chain and distribution costs.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occurrence of, or threat of, a natural disaster, climate change, war, acts of violence or acts of terrorism, other armed conflicts, and public health issues in the United States, we may be required to suspend operations in some or all of our stores, which could have a material adverse impact on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Consumer Demand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b/>
          <w:i/>
          <w:sz w:val="20"/>
        </w:rPr>
        <w:t>Changes in economic, financial and political conditions, and the resulting impact on consumer confidence and consumer spending, could have an adverse effect on our business and results of operations</w:t>
      </w:r>
      <w:r>
        <w:rPr>
          <w:rFonts w:ascii="Times New Roman;Times;serif" w:hAnsi="Times New Roman;Times;serif"/>
          <w:i/>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retail merchandise business is highly sensitive to changes in overall economic and political conditions that impact consumer confidence and spending. Various economic conditions affect the level of disposable income consumers have available to spend on the merchandise we offer, including unemployment rates, inflation, interest rates, taxation, energy costs, the availability of consumer credit, the price of gasoline, consumer confidence in future economic conditions and general business conditions. Due to the Company’s concentration of stores in energy producing regions, volatile conditions in these regions could adversely affect the Company’s sales. Consumer purchases of discretionary items and other retail products generally decline during recessionary periods, and also may decline at other times when changes in consumer spending patterns affect us unfavorably. In addition, any significant decreases in shopping mall traffic could also have an adverse effect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dependent upon our ability to accurately predict rapidly changing fashion trends, customer preferences and other fashion-related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sales and operating results depend in part on our ability to effectively predict and quickly respond to changes in fashion trends and customer preferences. We continuously assess emerging styles and trends and focus on developing a merchandise assortment to meet customer preferences at competitive prices. Even with these efforts, we cannot be certain that we will be able to successfully meet constantly changing fashion trends and customer preferences. If we are unable to successfully predict or respond to changing styles or preferences, we may be faced with lower sales, increased inventories, additional markdowns or promotional sales to dispose of excess or slow-moving inventory and lower gross margins, all of which would have an adverse effect on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Brand and Product Offerings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failure to protect our reputation could have an adverse effect on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offer our customers quality products at competitive prices and a high level of customer service, resulting in a well-recognized brand and customer loyalty. As discussed in the immediately preceding risk factor, our brand and customer loyalty depend, in part, on our ability to predict or respond to changes in fashion trends and consumer preferences in a timely manner. Failure to respond rapidly to changing trends could diminish brand and customer loyalty and impact our reputation with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the value of our reputation is based, in part, on subjective perceptions of the quality of our merchandise selections. Isolated incidents involving us or persons currently or formerly associated with us (including employees, celebrities, social media influencers, brand affiliates and partners or others who speak publicly about our brand or our products, whether authorized or not) or our merchandise that erode trust or confidence could adversely affect our reputation and our business, particularly if the incidents result in significant adverse publicity or governmental investigation or inquiry. Similarly, information posted about us, including our lines of exclusive brand merchandise, on the Internet, including social media platforms that allow individuals access to a wide audience of consumers and other interested persons, may adversely affect our reputation, even if the information is inaccurate.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significant damage to our brand or reputation could negatively impact sales, diminish customer trust and generate negative sentiment, any of which would harm our business and results of operation.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associated with our private label merchandise program could adversely affect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merchandise selections include our lines of exclusive brand merchandise, such as Antonio Melani, Gianni Bini, GB, Roundtree &amp; Yorke and Daniel Cremieux. We expect to grow our private label merchandise program and have invested in our development and procurement resources and marketing efforts related to these exclusive brand offerings. The expansion of our private label merchandise subjects us to certain additional risks. These include, among others, risks related to: our failure to comply with government and industry safety standards; our ability to successfully protect our trademark and license portfolio and our other proprietary rights in our exclusive brands/private label merchandise program; and risks associated with overseas sourcing and manufacturing. In addition, damage to the reputation of our private label trade names may generate negative customer sentiment. Our failure to adequately address some or all of these risks could have a material adverse effect on our business, results of operations and financial condition.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Material Sourcing and Supply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Fluctuations in the price of merchandise, raw materials, fuel and labor or their reduced availability could increase our cost of goods and negatively impact our financial results.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Fluctuations in the price and availability of fuel, labor and raw materials as a result of inflation and other factors, combined with the inability to mitigate or to pass cost increases on to our customers or to change our merchandise mix as a result of such cost increases, could have an adverse impact on our profitability. Vendors and other suppliers of the Company may experience similar fluctuations, which may subject us to the effects of their price increases. We may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may not be able to pass such costs along to our customers. Even when successful, attempts to pass such costs along to our customers might cause a decline in our sales volume. Additionally, any decrease in the availability of raw materials could impair our ability and the ability of our branded vendors to meet purchasing requirements in a timely manner. A decrease in domestic transportation capacity could impair our ability and the ability of our branded vendors to timely deliver merchandise to our distribution centers and stores. Both the increased cost and lower availability of merchandise, raw materials, fuel and labor may also have an adverse impact on our cash and working capital needs.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Third party suppliers on whom we rely to obtain materials and provide production facilities and other third parties with whom we do business may experience financial difficulties due to current and future economic conditions, which may subject them to insolvency risk or may result in their inability or unwillingness to perform the obligations they owe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suppliers may experience financial difficulties due to a downturn in the industry or in other macroeconomic environments. Our suppliers’ cash and working capital needs can be adversely impacted by the increased cost and lower availability of merchandise, raw materials, fuel and labor as a result of inflation and other factors. Current and future economic conditions may prevent our suppliers from obtaining financing on favorable terms, which could impact their ability to supply us with merchandise on a timely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also party to contractual and business relationships with various other parties, including vendors and service providers, pursuant to which such parties owe performance, payment and other obligations to us. In some cases, we depend upon such third parties to provide essential products, services or other benefits, such as advertising, software development and support, logistics and other goods and services necessary to operate our business. Economic, industry and market conditions could result in increased risks to us associated with the potential financial distress of such third 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any of the third parties with which we do business become subject to insolvency, bankruptcy, receivership or similar proceedings, our rights and benefits in relation to, contractual and business relationships with such third parties could be terminated, modified in a manner adverse to us or otherwise materially impaired. There can be no assurances that we would be able to arrange for alternate or replacement contractual or business relationships on terms as favorable as our existing ones, if at all. Any inability on our part to do so could negatively affect our cash flows,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Company and third-party suppliers on whom we rely source a significant portion of the merchandise we sell from foreign countries, which exposes us to certain risks that include political and economic conditions and supply chain disruptions.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Political discourse in the United States continues to focus on ways to discourage corporations in the United States from outsourcing manufacturing and production activities to foreign jurisdictions. Since 2018, the United States has imposed additional tariffs on certain items sourced from foreign countries, including China, and has modified, withdrawn from and renegotiated some of its trade agreements with foreign countries. Additional actions, including the imposition or increase of tariffs, could negatively impact our ability and the ability of our third-party vendors and suppliers to source products from foreign jurisdictions and could lead to an increase in the cost of goods and adversely affect our profitability.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trade restrictions imposed by the United States Government, including increased tariffs or quotas, embargoes, safeguards, and customs restrictions against apparel items, (such as the Uyghur Forced Labor Prevention Act), as well as United States or foreign labor strikes, work stoppages, or boycotts, could increase the cost or reduce the supply of merchandise available to us or may require us to modify our current business practices, any of which could adversely affect our profitability.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timely receipt of merchandise in the United States is dependent on an efficient global supply chain. Disruptions in the supply chain could adversely impact our ability to obtain adequate inventory on a timely basis and result in lost sales, increased costs and an overall decrease in our profits. For example, many disruptions in the global transportation network have occurred recently, including attacks on shipping vessels in the Red Sea and on the Strait of Hormuz,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causing changes to vessel routings, extending transit times, decreasing global vessel capacity and increasing the cost of fuel. Global port congestion related to weather and geopolitical events may also continue to impact the supply chain, and imports may continue to face delayed transit times, longer wait times at transshipment ports and schedule changes at origin ports.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Moreover, our third-party suppliers in foreign jurisdictions are subject to political and economic uncertainty. As a result, we are subject to risks and uncertainties associated with changing economic and political conditions in foreign countries where our suppliers are located, including increased import duties, tariffs, trade restrictions and quotas; human rights concerns; working conditions and other labor rights and conditions; the environmental impact in foreign countries where merchandise is produced and raw materials or products are sourced; adverse foreign government regulations; wars, fears of war, terrorist attacks and organizing activities; inflation and adverse fluctuations of foreign currencies; and political unrest. We cannot predict when, or the extent to which, the countries in which our products are manufactured will experience any of the foregoing events. Any event causing a disruption or delay of imports from foreign locations would likely increase the cost or reduce the supply of merchandise available to us and would adversely affect our operating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by third party suppliers to comply with our supplier compliance programs or applicable laws could have a material adverse effect on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our suppliers must comply with our supplier compliance programs and applicable laws, including consumer and product safety laws, but we do not control our vendors or their labor and business practices. The violation of labor or other laws by one or more of our vendors could have an adverse effect on our business. Additionally, although we diversify our sourcing and production, the failure of any supplier to produce and deliver our goods on time, to meet our quality standards and adhere to our product safety requirements or to meet the requirements of our supplier compliance program or applicable laws, could impact our ability to flow merchandise to our stores or directly to consumers in the right quantities at the right time, which could adversely affect our profitability and could result in damage to our reputation and translate into sales losses.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Long-Term Marketing and Servicing Alliance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Reductions in the income and cash flow from our long-term marketing and servicing alliance related to the private label credit cards could impact operating results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2024, the Company announced that it entered into a new agreement with Citibank, N.A. (“Citi”) to provide a credit card program for Dillard’s customers (the “Citibank Alliance”), replacing the existing Wells Fargo Alliance. The Dillard’s credit card program offered by Citi includes a new co-branded Mastercard, replacing the existing co-branded card, as well as a private label credit card. Additionally, Citi will provide customer service functions and support certain Dillard’s marketing and loyalty program activities related to the new program. The term of the agreement is 10 years with automatic extensions for successive two-year terms unless the agreement is terminated by a party in accordance with the terms and conditions of the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Citibank Alliance provides for certain payments to be made by Citi to the Company, including the Company’s share of earnings under this alliance. The income and cash flow that the Company receives from the Citibank Alliance is dependent upon a number of factors including the level of sales on Citi accounts, the level of balances carried on the Citi accounts by Citi customers, payment rates on Citi accounts, finance charge rates and other fees on Citi accounts, the level of credit losses for the Citi accounts, Citi’s ability to extend credit to our customers as well as the cost of customer rewards programs, all of which can vary based on changes in federal and state banking and consumer protection laws and from a variety of economic, legal, social and other factors that we cannot control. While future cash flows under the Citibank Alliance are difficult to predict, the Company and Citi remain focused on collaborative strategies to enhance customer awareness and acceptance of the program’s product offerings in an effort to improve the financial performance of this alliance; however, there can be no assurance that these efforts will significantly impact the performance. If the income or cash flow that the Company receives from the Citibank Alliance decreases, our operating results and cash flows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Credit card operations are subject to numerous federal and state laws that impose disclosure and other requirements upon the origination, servicing, and enforcement of credit accounts, and limitations on the amount of finance charges and fees (including late fees) that may be charged by a credit card provider. Citi may be subject to regulations that may adversely impact its operation of the private label credit card program. To the extent that such limitations or regulations materially limit the availability of credit or increase the cost of credit to the cardholders or negatively impact provisions which affect our earnings associated with the private label credit card, our results of operations could be adversely affected. In addition, changes in credit card use, payment patterns, or default rates could be affected by a variety of economic, legal, social, or other factors over which we have no control and cannot predict with certainty. Such changes could also negatively impact Citi’s ability to facilitate consumer credit or increase the cost of credit to the cardholders.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income and cash flow that the Company will receive from the new program with Citi will depend on the same factors that impacted the Wells Fargo Alliance. Any material decrease could adversely affect our operating results and cash flows.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customer payment-related risks that could increase our operating costs, expose us to fraud or theft, subject us to potential liability and potentially disrupt our business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accept payments using a variety of methods, including cash, checks, debit cards, credit cards (including the private label credit cards), gift cards and other alternative payment channels. As a result, we are subject to rules, regulations, contractual obligations and compliance requirements, including payment network rules and operating guidelines, data security standards and certification requirements, and rules governing electronic funds transfers. The payment methods that we offer also subject us to potential fraud and theft by persons who seek to obtain unauthorized access to or exploit any weaknesses that may exist in the payment systems.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regulatory environment related to information security and privacy is increasingly rigorous, with new and constantly changing requirements applicable to our business, and compliance with those requirements could result in additional costs or accelerate these costs. For certain payment methods, including credit and debit cards, we pay interchange and other fees, which could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disrupt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Information Technology and Information Security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significant disruption in our information technology systems and network and our inability to adequately maintain and update those systems could materially adversely affect our operations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operations are largely dependent upon the integrity, security and consistent operation of various systems and data centers, including the point-of-sale systems in the stores, our Internet website, data centers that process transactions, communication systems and various software applications used throughout our Company to order merchandise, track inventory flow, process transactions and generate performance and financial reports.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information technology systems are also subject to damage or interruption from power outages, computer and telecommunications failures, computer viruses, cyberattacks and ransomware attacks, usage errors by our employees and other items discussed previously in this Item 1A, catastrophic events such as fires, floods, earthquakes, tornadoes, hurricanes and acts of war or terrorism. We rely on third-party service providers to provide hardware, software and services necessary to operate our information technology systems. Outages, failures, viruses, attacks, catastrophic events, acts of war or terrorism, and usage errors by third-party service providers (or their vendors) could also affect our information technology systems. If our information technology systems are damaged or cease to function properly, we may have to make a significant investment to repair or replace them, and we may suffer loss of critical data and interruptions or delays in our operations in the interim, which could adversely affect our business and operating results.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Additionally, to keep pace with changing technology (including artificial intelligence), we must continuously provide for the design and implementation of new information technology systems and enhancements of our existing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systems. We could encounter difficulties in developing new systems or maintaining and upgrading existing systems. Such difficulties could lead to significant expenses or to losses due to disruption in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Any failure to maintain the security of the information related to our Company, customers, employees and vendors or the information technology systems on which we rely for our operations could adversely affect our operations, damage our reputation, result in litigation or other legal actions against us, increase our operating costs and materially adversely affect our business and operating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receive and store certain personal information about our employees and our customers, including information permitting cashless payments, both in our stores and through our online operations at dillards.com. In addition, our operations depend upon the secure transmission of confidential information over public networks. Further, our ability to supply merchandise to and operate our stores, process transactions and generate performance and financial reports are largely dependent on the security and integrity of our information technology network.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like other companies, face a risk of unauthorized access to devices and technology assets, as well as computer viruses, worms, bot attacks, ransomware and other destructive or disruptive software and attempts to misappropriate customer or employee information and cause system failures and disruptions. Such events can result in theft, alteration, deletion or encryption of data, or disruption of services provided by the devices and assets, as well as demands to pay a third party to regain access to encrypted files and prevent publication of stolen data. In addition, employee error, malfeasance or security lapses could result in exposure of confidential information or otherwise adversely disrupt or affect our operations. We rely on third-party service providers to provide hardware, software and services necessary to operate our information technology systems, and the same issues could occur at those third parties and have an effect on our operational technology or data. Such attacks, if successful, have the potential for creating a loss of sales, business disruption, reputational impact, litigation, liability to consumers, regulatory investigations, or otherwise adversely affect our ability to operate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 longstanding Information Security program committed to regular risk assessment and risk mitigation practices surrounding the protection of confidential data and our information technology systems and network. Our security controls include network segmentation, firewalls, identity and access controls, endpoint protection solutions, as well as specific measures like point-to-point encryption and tokenization solutions for payment card data. We also maintain data breach preparedness plans, conduct exercises to test response plans, and employ other methods to protect our data and networks, and promote security awareness. Our Senior Management and Board of Directors exercise oversight of our security measures through various methods, including participation in response preparedness discussions and discussions regarding assessments, expenditures related to security and security controls.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It is possible that unauthorized persons might defeat our security measures, those of third-party service providers or vendors, and obtain personal information of customers, employees or others, or compromise our information technology systems. A breach, whether in our information technology systems or those of our third-party service providers or vendors, resulting in personal information being obtained by or exposed to unauthorized persons, could adversely affect our operations, results of operations, financial condition and liquidity, and could result in litigation against us or the imposition of penalties. Our reputation and our ability to attract new customers could be adversely impacted if we fail, or are perceived to have failed, to properly prevent and respond to these incidents. In addition, a security breach could require that we expend significant additional resources related to our information security systems and could result in a disruption of our operations, including our online sales operations. A ransomware attack may also result in exposure to business interruption and lost sales, ransom payments, costs associated with recovery of data and replacement of systems, exposure to customer and employee litigation from disclosure of confidential information, fines and penalties.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security breach also could result in a violation attributable to the Company of applicable privacy and other laws, and subject us to litigation by private customers, business partners, or securities litigation and regulatory investigations and proceedings, any of which could result in our exposure to civil or criminal liability. The regulatory environment surrounding information security, cybersecurity, and privacy is increasingly demanding, with new and changing requirements, such as the California Consumer Privacy Act. Security breaches, cyber incidents or allegations that we used personal information in violation of applicable privacy and other laws could result in significant legal and financial exposure.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and Compliance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 with customers, employees and others could harm our reputation and impact operating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ordinary course of business, we may be involved in lawsuits and regulatory actions. We are impacted by trends in litigation, including, but not limited to, class-action allegations brought under various consumer protection, employment and privacy and information security laws. Additionally, we may be subject to employment-related claims alleging discrimination, harassment, wrongful termination and wage issues, including those relating to overtime compensation. We are susceptible to claims filed by customers alleging responsibility for injury suffered during a visit to a store or from product defects and to lawsuits filed by patent holders alleging patent infringement. We are also subject to claims filed under our employee stock ownership plan alleging failure to properly manage the plan. These types of claims, as well as other types of lawsuits to which we are subject from time to time, can distract management’s attention from core business operations and impact operating results, particularly if a lawsuit results in an unfavorable outcome.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Construction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cost-to-cost method of accounting that we use to recognize contract revenues for our construction segment may result in material adjustments, which could result in a credit or a charge against our earnings.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construction segment recognizes contract revenues based on the cost-to-cost method. Under this method, estimated contract revenues are measured based on the ratio of costs incurred to total estimated contract costs. Estimated contract losses are recognized in full when determined. Total contract revenues and cost estimates are reviewed and revised at a minimum on a quarterly basis as the work progresses and as change orders are approved. Adjustments are reflected in contract revenues in the period when these estimates are revised. To the extent that these adjustments result in an increase, a reduction or an elimination of previously reported contract profit, we are required to recognize a credit or a charge against current earnings, which could be material.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Employees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Company depends on its ability to attract and retain quality employees, and failure to do so could adversely affect our ability to execute our business strategy and our operating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business is dependent upon attracting and retaining quality employees. The Company has a large number of employees, many of whom are in positions with historically high rates of turnover. The Company’s ability to meet its labor needs while controlling the costs associated with hiring and training new employees is subject to external factors such as unemployment levels, changing demographics, prevailing wage rates and current or future minimum wage and healthcare reform legislation. In addition, as a complex enterprise operating in a highly competitive and challenging business environment, the Company is highly dependent upon management personnel to develop and effectively execute successful business strategies and tactics. Any circumstances that adversely impact the Company’s ability to attract, train, develop and retain quality employees throughout the organization could adversely affect the Company’s business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Increases in employee wages and the cost of employee benefits could impact the Company’s financial results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expenses relating to employee wages and health benefits are significant. Increases in employee wages, including the minimum wage, or unfavorable changes in the cost of healthcare benefits could impact the Company’s financial results and cash flows. Healthcare costs have risen significantly in recent years, and recent legislative and private sector initiatives regarding healthcare reform have resulted and could continue to result in significant changes to the U.S. healthcare system. Due to the breadth and complexity of the U.S. healthcare system, and uncertainty regarding legislative or regulatory changes, the Company is not able to fully determine the impact that future healthcare reform will have on our company sponsored medical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0" w:name="ITEM1BUNRESOLVEDSTAFFCOMMENTS_222240"/>
      <w:bookmarkStart w:id="61" w:name="_181383c6_57bd_45e5_958c_ade89c74d48b"/>
      <w:bookmarkEnd w:id="60"/>
      <w:bookmarkEnd w:id="61"/>
      <w:r>
        <w:rPr>
          <w:rFonts w:ascii="Times New Roman;Times;serif" w:hAnsi="Times New Roman;Times;serif"/>
          <w:b/>
          <w:sz w:val="20"/>
        </w:rPr>
        <w:t>ITEM 1B.   UNRESOLVED STAFF COMMENTS.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2" w:name="_6ffa83f5_9b54_4613_af60_b1d13df9637f"/>
      <w:bookmarkStart w:id="63" w:name="ITEM1CYBERSECURITY"/>
      <w:bookmarkEnd w:id="62"/>
      <w:bookmarkEnd w:id="63"/>
      <w:r>
        <w:rPr>
          <w:rFonts w:ascii="Times New Roman;Times;serif" w:hAnsi="Times New Roman;Times;serif"/>
          <w:b/>
          <w:sz w:val="20"/>
        </w:rPr>
        <w:t>ITEM 1C.   CYBERSECURITY.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Risk Management and Strategy</w:t>
      </w:r>
      <w:r>
        <w:rPr>
          <w:rFonts w:ascii="Times New Roman;Times;serif" w:hAnsi="Times New Roman;Times;serif"/>
          <w:sz w:val="20"/>
        </w:rPr>
        <w:t xml:space="preserve">. The Company has developed an information security program to assess, identify, and manage material risks from cybersecurity threats, which is included in our overall risk management system and processes through a layered governance structure. The program includes policies and procedures that identify how security measures and controls are developed, implemented, and maintained. An internal cyber risk assessment is conducted annually. The risk assessment is used by management to consider implementing and augmenting cybersecurity controls where feasible and appropriate with the intent of mitigating cybersecurity risk exposure. The Company employs a broad array of cybersecurity tools and controls to manage exposure to cybersecurity risks.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the Company retains third-party security firms in different capacities to provide some of these controls or monitor cybersecurity threats to our technology systems. For example, third parties are used to conduct independent assessments, such as vulnerability scans and penetration testing, and to confirm PCI DSS compliance. Additionally, third parties are also used to monitor security alert systems.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engages with a number of service providers in connection with normal business operations. The Company uses a variety of processes to address cybersecurity threats related to third-party service providers, including, where appropriate, pre-acquisition diligence, and imposition of contractual data security and privacy obligations. In addition, the Company is a member of an industry cybersecurity intelligence and risk sharing organization and participates in other information sharing groups and trade organizations to stay abreast of ongoing cyber risks, cyber incidents, and newly disclosed vulnerabilities and attack vectors.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utilizes multiple training methodologies to ensure associate awareness of cybersecurity risks and practices. Associates are required to undergo security awareness training when hired and annually thereafter. In addition, the Company conducts tabletop exercises and other readiness exercises to enhance incident response preparedness. Disaster recovery plans have been put in place, and are tested, to prepare for potential disruptions in technology on which we rely.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an Information Technology Governance, Risk, and Compliance function to address information technology risks, including cybersecurity risks. Additionally, a working committee of management meets periodically to review, assess, and manage material risks from cybersecurity threats.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written cybersecurity incident response plans that are reviewed, and updated if necessary, at least annually. The plans identify cross-functional incident response teams which are comprised of representatives from management, including the Chief Information Security Officer (CISO) and General Counsel. The plans provide for notification to the Executive Committee of the Board of Directors and the full Board of Directors, as appropriate, of any actual or suspected significant cybersecurity incidents and require regular updates to these parties during the investigation of such incidents.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is currently unaware of any risks from cybersecurity threats, including those from publicly disclosed incidents with respect to other companies, that have materially affected, or are reasonably likely to materially affect the Company, including strategies, results of operations, or financial condition.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Governance</w:t>
      </w:r>
      <w:r>
        <w:rPr>
          <w:rFonts w:ascii="Times New Roman;Times;serif" w:hAnsi="Times New Roman;Times;serif"/>
          <w:sz w:val="20"/>
        </w:rPr>
        <w:t xml:space="preserve">. The CISO, who reports to the Senior Director of Technology, is the management position with primary responsibility for the development, operation, and maintenance of our information security program. The CISO has been with the Company for over 40 years, is a certified CISSP, CRISC, and CIPM and oversees a team of experienced individuals.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the working committee meetings described above, the CISO and Senior Director of Technology meet regularly with the Company’s President and with other members of senior management to review the current state of the cybersecurity program and emerging threats to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Oversight of the information security program sits with the Company’s President and ultimately with the full Board of Directors. The full Board of Directors is briefed as appropriate but not less than annually on cybersecurity risks and the Company’s efforts to mitigate exposure from those risks.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Cyber threats are constantly evolving, and those threats and the means for obtaining access to information systems are becoming increasingly sophisticated. Cyber threats can come from unauthorized access, computer hackers, computer viruses, malicious code, ransomware, phishing, organized cyber-attacks and other security problems and system disruptions. The Company faces numerous attempts to access the information stored in its information systems. If successful, cyber incidents could expose the Company to loss or misuse of confidential information, including customer information, or disruptions of business operations. In addition, third-party service providers can experience breaches of their systems and products that impact the security of the Company’s information technology systems and proprietary or confidential information. The Company (or third parties it relies on) may not be able to fully, continuously, and effectively implement security controls as intended. We utilize a risk-based approach and judgment to determine the security controls to implement and it is possible we may not implement appropriate controls if we do not recognize or underestimate exposure to a particular cybersecurity risk, or if the control is not feasible or may have an adverse impact on operations. In addition, cybersecurity controls, no matter how well designed or implemented, may only mitigate and not fully eliminate risks. Events, when detected by security tools or third parties, may not always be immediately understood or acted upon.</w:t>
      </w:r>
    </w:p>
    <w:p>
      <w:pPr>
        <w:pStyle w:val="TextBody"/>
        <w:bidi w:val="0"/>
        <w:spacing w:before="0" w:after="240"/>
        <w:ind w:left="0" w:right="0" w:hanging="0"/>
        <w:jc w:val="left"/>
        <w:rPr>
          <w:rFonts w:ascii="Times New Roman;Times;serif" w:hAnsi="Times New Roman;Times;serif"/>
          <w:b/>
          <w:sz w:val="20"/>
        </w:rPr>
      </w:pPr>
      <w:bookmarkStart w:id="64" w:name="ITEM2PROPERTIES_129340"/>
      <w:bookmarkStart w:id="65" w:name="_85d7bd70_1d08_43e5_8275_049a64a87c6b"/>
      <w:bookmarkEnd w:id="64"/>
      <w:bookmarkEnd w:id="65"/>
      <w:r>
        <w:rPr>
          <w:rFonts w:ascii="Times New Roman;Times;serif" w:hAnsi="Times New Roman;Times;serif"/>
          <w:b/>
          <w:sz w:val="20"/>
        </w:rPr>
        <w:t>ITEM 2.   PROPERTIES.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our stores are owned by us or leased from third parties. At January 31, 2026, we operated 271 stores in 30 states totaling approximately 46.0 million square feet of which we owned approximately 43.0 million square feet. Our third-party store leases typically provide for rental payments based on a percentage of net sales with a guaranteed minimum annual rent. In general, the Company pays the cost of insurance, maintenance and real estate taxes related to the leases.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by state of operation the number of retail stores we operate and the corresponding owned and leased footprint at January 31, 2026:</w:t>
      </w:r>
    </w:p>
    <w:tbl>
      <w:tblPr>
        <w:tblW w:w="6671" w:type="dxa"/>
        <w:jc w:val="left"/>
        <w:tblInd w:w="0" w:type="dxa"/>
        <w:tblLayout w:type="fixed"/>
        <w:tblCellMar>
          <w:top w:w="0" w:type="dxa"/>
          <w:left w:w="0" w:type="dxa"/>
          <w:bottom w:w="0" w:type="dxa"/>
          <w:right w:w="0" w:type="dxa"/>
        </w:tblCellMar>
      </w:tblPr>
      <w:tblGrid>
        <w:gridCol w:w="1351"/>
        <w:gridCol w:w="346"/>
        <w:gridCol w:w="751"/>
        <w:gridCol w:w="346"/>
        <w:gridCol w:w="616"/>
        <w:gridCol w:w="346"/>
        <w:gridCol w:w="601"/>
        <w:gridCol w:w="346"/>
        <w:gridCol w:w="826"/>
        <w:gridCol w:w="346"/>
        <w:gridCol w:w="79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857885" cy="175260"/>
                      <wp:effectExtent l="0" t="0" r="0" b="0"/>
                      <wp:wrapNone/>
                      <wp:docPr id="19" name="Frame1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76885" cy="175260"/>
                      <wp:effectExtent l="0" t="0" r="0" b="0"/>
                      <wp:wrapNone/>
                      <wp:docPr id="21" name="Frame2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91160" cy="175260"/>
                      <wp:effectExtent l="0" t="0" r="0" b="0"/>
                      <wp:wrapNone/>
                      <wp:docPr id="23" name="Frame2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1635" cy="175260"/>
                      <wp:effectExtent l="0" t="0" r="0" b="0"/>
                      <wp:wrapNone/>
                      <wp:docPr id="25" name="Frame2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7" name="Frame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05460" cy="175260"/>
                      <wp:effectExtent l="0" t="0" r="0" b="0"/>
                      <wp:wrapNone/>
                      <wp:docPr id="29" name="Frame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Partially</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Building</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Leased</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Leased</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Partially</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Stores</w:t>
            </w:r>
          </w:p>
        </w:tc>
        <w:tc>
          <w:tcPr>
            <w:tcW w:w="34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Stores</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Stores</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Land</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Leased</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Alabama</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Arkansas</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Arizona</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Florida</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Georgia</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Iowa</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Idaho</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Illinois</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Indiana</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Kansas</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Kentucky</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Louisiana</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Missouri</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Mississippi</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Montana</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Carolina</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Nebraska</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Nevada</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Ohio</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Oklahoma</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Carolina</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Dakota</w:t>
            </w:r>
          </w:p>
        </w:tc>
        <w:tc>
          <w:tcPr>
            <w:tcW w:w="34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Tennessee</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Utah</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Virginia</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Wyoming</w:t>
            </w:r>
          </w:p>
        </w:tc>
        <w:tc>
          <w:tcPr>
            <w:tcW w:w="346" w:type="dxa"/>
            <w:tcBorders/>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January 31, 2026, we operated the following additional facilities:</w:t>
      </w:r>
    </w:p>
    <w:tbl>
      <w:tblPr>
        <w:tblW w:w="8257" w:type="dxa"/>
        <w:jc w:val="left"/>
        <w:tblInd w:w="0" w:type="dxa"/>
        <w:tblLayout w:type="fixed"/>
        <w:tblCellMar>
          <w:top w:w="0" w:type="dxa"/>
          <w:left w:w="0" w:type="dxa"/>
          <w:bottom w:w="0" w:type="dxa"/>
          <w:right w:w="0" w:type="dxa"/>
        </w:tblCellMar>
      </w:tblPr>
      <w:tblGrid>
        <w:gridCol w:w="3316"/>
        <w:gridCol w:w="346"/>
        <w:gridCol w:w="2176"/>
        <w:gridCol w:w="346"/>
        <w:gridCol w:w="976"/>
        <w:gridCol w:w="346"/>
        <w:gridCol w:w="75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05660" cy="175260"/>
                      <wp:effectExtent l="0" t="0" r="0" b="0"/>
                      <wp:wrapNone/>
                      <wp:docPr id="30" name="Frame30"/>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81760" cy="175260"/>
                      <wp:effectExtent l="0" t="0" r="0" b="0"/>
                      <wp:wrapNone/>
                      <wp:docPr id="32" name="Frame32"/>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19760" cy="175260"/>
                      <wp:effectExtent l="0" t="0" r="0" b="0"/>
                      <wp:wrapNone/>
                      <wp:docPr id="34" name="Frame3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76885" cy="175260"/>
                      <wp:effectExtent l="0" t="0" r="0" b="0"/>
                      <wp:wrapNone/>
                      <wp:docPr id="36" name="Frame3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Facility</w:t>
            </w:r>
          </w:p>
        </w:tc>
        <w:tc>
          <w:tcPr>
            <w:tcW w:w="346" w:type="dxa"/>
            <w:tcBorders/>
            <w:vAlign w:val="center"/>
          </w:tcPr>
          <w:p>
            <w:pPr>
              <w:pStyle w:val="TableContents"/>
              <w:bidi w:val="0"/>
              <w:spacing w:before="0" w:after="0"/>
              <w:ind w:left="0" w:right="0" w:hanging="0"/>
              <w:jc w:val="left"/>
              <w:rPr/>
            </w:pPr>
            <w:r>
              <w:rPr/>
              <w:t>​</w:t>
            </w:r>
          </w:p>
        </w:tc>
        <w:tc>
          <w:tcPr>
            <w:tcW w:w="21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Square Feet</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Centers:</w:t>
            </w:r>
          </w:p>
        </w:tc>
        <w:tc>
          <w:tcPr>
            <w:tcW w:w="346" w:type="dxa"/>
            <w:tcBorders/>
            <w:shd w:fill="CCEEFF" w:val="clear"/>
            <w:vAlign w:val="center"/>
          </w:tcPr>
          <w:p>
            <w:pPr>
              <w:pStyle w:val="TableContents"/>
              <w:bidi w:val="0"/>
              <w:spacing w:before="0" w:after="0"/>
              <w:ind w:left="0" w:right="0" w:hanging="0"/>
              <w:jc w:val="left"/>
              <w:rPr/>
            </w:pPr>
            <w:r>
              <w:rPr/>
              <w:t> </w:t>
            </w:r>
          </w:p>
        </w:tc>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Mabelvale, Arkansas</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Gilbert, Arizona</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295,000</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Valdosta, Georgia</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370,000</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Olathe, Kansas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Salisbury, North Carolina</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355,000</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Ft. Worth, Texas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700,000</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Internet Fulfillment Center</w:t>
            </w:r>
          </w:p>
        </w:tc>
        <w:tc>
          <w:tcPr>
            <w:tcW w:w="346" w:type="dxa"/>
            <w:tcBorders/>
            <w:shd w:fill="CCEEFF" w:val="clear"/>
            <w:vAlign w:val="center"/>
          </w:tcPr>
          <w:p>
            <w:pPr>
              <w:pStyle w:val="TableContents"/>
              <w:bidi w:val="0"/>
              <w:spacing w:before="0" w:after="0"/>
              <w:ind w:left="0" w:right="0" w:hanging="0"/>
              <w:jc w:val="left"/>
              <w:rPr/>
            </w:pPr>
            <w:r>
              <w:rPr/>
              <w:t> </w:t>
            </w:r>
          </w:p>
        </w:tc>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Maumelle, Arkansas</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850,000</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Dillard's Executive Offices</w:t>
            </w:r>
          </w:p>
        </w:tc>
        <w:tc>
          <w:tcPr>
            <w:tcW w:w="34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Little Rock, Arkansas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333,000</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CDI Contractors, LLC Executive Office</w:t>
            </w:r>
          </w:p>
        </w:tc>
        <w:tc>
          <w:tcPr>
            <w:tcW w:w="346" w:type="dxa"/>
            <w:tcBorders/>
            <w:shd w:fill="CCEEFF" w:val="clear"/>
            <w:vAlign w:val="center"/>
          </w:tcPr>
          <w:p>
            <w:pPr>
              <w:pStyle w:val="TableContents"/>
              <w:bidi w:val="0"/>
              <w:spacing w:before="0" w:after="0"/>
              <w:ind w:left="0" w:right="0" w:hanging="0"/>
              <w:jc w:val="left"/>
              <w:rPr/>
            </w:pPr>
            <w:r>
              <w:rPr/>
              <w:t> </w:t>
            </w:r>
          </w:p>
        </w:tc>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Little Rock, Arkansas</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CDI Storage Facilities</w:t>
            </w:r>
          </w:p>
        </w:tc>
        <w:tc>
          <w:tcPr>
            <w:tcW w:w="34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Maumelle, Arkansas</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66,000</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3,894,000</w:t>
            </w:r>
          </w:p>
        </w:tc>
        <w:tc>
          <w:tcPr>
            <w:tcW w:w="346"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Additional property information is contained in Notes 1, 12, 13 and 14 in the “Notes to Consolidated Financial Statements,” in Item 8 hereof.</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6" w:name="ITEM3LEGALPROCEEDINGS_683614"/>
      <w:bookmarkStart w:id="67" w:name="_747bf378_c6ff_4950_942e_1c9d90f9c3a7"/>
      <w:bookmarkEnd w:id="66"/>
      <w:bookmarkEnd w:id="67"/>
      <w:r>
        <w:rPr>
          <w:rFonts w:ascii="Times New Roman;Times;serif" w:hAnsi="Times New Roman;Times;serif"/>
          <w:b/>
          <w:sz w:val="20"/>
        </w:rPr>
        <w:t>ITEM 3.   LEGAL PROCEEDINGS</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the Company is involved in litigation relating to claims arising out of the Company’s operations in the normal course of business. This may include litigation with customers, employment related lawsuits, class action lawsuits, purported class action lawsuits and actions brought by governmental authorities. As of March 27, 2026, neither the Company nor any of its subsidiaries is a party to, nor is any of their property the subject of, any material legal proceedings.</w:t>
      </w:r>
    </w:p>
    <w:p>
      <w:pPr>
        <w:pStyle w:val="TextBody"/>
        <w:bidi w:val="0"/>
        <w:spacing w:before="0" w:after="240"/>
        <w:ind w:left="0" w:right="0" w:hanging="0"/>
        <w:jc w:val="left"/>
        <w:rPr>
          <w:rFonts w:ascii="Times New Roman;Times;serif" w:hAnsi="Times New Roman;Times;serif"/>
          <w:b/>
          <w:sz w:val="20"/>
        </w:rPr>
      </w:pPr>
      <w:bookmarkStart w:id="68" w:name="ITEM4MINESAFETYDISCLOSURES_792170"/>
      <w:bookmarkStart w:id="69" w:name="_f1dcb759_905b_4727_892f_088ec1e42531"/>
      <w:bookmarkEnd w:id="68"/>
      <w:bookmarkEnd w:id="69"/>
      <w:r>
        <w:rPr>
          <w:rFonts w:ascii="Times New Roman;Times;serif" w:hAnsi="Times New Roman;Times;serif"/>
          <w:b/>
          <w:sz w:val="20"/>
        </w:rPr>
        <w:t>ITEM 4.   MINE SAFETY DISCLOSURES</w:t>
      </w:r>
      <w:r>
        <w:rPr>
          <w:rFonts w:ascii="Times New Roman;Times;serif" w:hAnsi="Times New Roman;Times;serif"/>
          <w:b w:val="false"/>
          <w:sz w:val="20"/>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 w:name="_306961e4_db77_446d_a2c3_039b3eb8a5c9"/>
      <w:bookmarkEnd w:id="70"/>
      <w:r>
        <w:rPr>
          <w:rFonts w:ascii="Times New Roman;Times;serif" w:hAnsi="Times New Roman;Times;serif"/>
          <w:b/>
          <w:sz w:val="20"/>
        </w:rPr>
        <w:t>INFORMATION ABOUT OUR 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lists the names and ages of all executive officers of the Company, the nature of any family relationship between them and the Company’s CEO and all positions and offices with the Company presently held by each person named. Each is elected to serve a one-year term. There are no other persons chosen to become executive officers.</w:t>
      </w:r>
    </w:p>
    <w:tbl>
      <w:tblPr>
        <w:tblW w:w="10205" w:type="dxa"/>
        <w:jc w:val="left"/>
        <w:tblInd w:w="0" w:type="dxa"/>
        <w:tblLayout w:type="fixed"/>
        <w:tblCellMar>
          <w:top w:w="0" w:type="dxa"/>
          <w:left w:w="0" w:type="dxa"/>
          <w:bottom w:w="0" w:type="dxa"/>
          <w:right w:w="0" w:type="dxa"/>
        </w:tblCellMar>
      </w:tblPr>
      <w:tblGrid>
        <w:gridCol w:w="1377"/>
        <w:gridCol w:w="146"/>
        <w:gridCol w:w="391"/>
        <w:gridCol w:w="346"/>
        <w:gridCol w:w="4538"/>
        <w:gridCol w:w="346"/>
        <w:gridCol w:w="860"/>
        <w:gridCol w:w="346"/>
        <w:gridCol w:w="1855"/>
      </w:tblGrid>
      <w:tr>
        <w:trPr/>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874395" cy="175260"/>
                      <wp:effectExtent l="0" t="0" r="0" b="0"/>
                      <wp:wrapNone/>
                      <wp:docPr id="37" name="Frame37"/>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92710" cy="175260"/>
                      <wp:effectExtent l="0" t="0" r="0" b="0"/>
                      <wp:wrapNone/>
                      <wp:docPr id="38" name="Frame3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48285" cy="175260"/>
                      <wp:effectExtent l="0" t="0" r="0" b="0"/>
                      <wp:wrapNone/>
                      <wp:docPr id="39" name="Frame3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881630" cy="175260"/>
                      <wp:effectExtent l="0" t="0" r="0" b="0"/>
                      <wp:wrapNone/>
                      <wp:docPr id="41" name="Frame41"/>
                      <a:graphic xmlns:a="http://schemas.openxmlformats.org/drawingml/2006/main">
                        <a:graphicData uri="http://schemas.microsoft.com/office/word/2010/wordprocessingShape">
                          <wps:wsp>
                            <wps:cNvSpPr txBox="1"/>
                            <wps:spPr>
                              <a:xfrm>
                                <a:off x="0" y="0"/>
                                <a:ext cx="2881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46100" cy="175260"/>
                      <wp:effectExtent l="0" t="0" r="0" b="0"/>
                      <wp:wrapNone/>
                      <wp:docPr id="43" name="Frame43"/>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177925" cy="175260"/>
                      <wp:effectExtent l="0" t="0" r="0" b="0"/>
                      <wp:wrapNone/>
                      <wp:docPr id="45" name="Frame45"/>
                      <a:graphic xmlns:a="http://schemas.openxmlformats.org/drawingml/2006/main">
                        <a:graphicData uri="http://schemas.microsoft.com/office/word/2010/wordprocessingShape">
                          <wps:wsp>
                            <wps:cNvSpPr txBox="1"/>
                            <wps:spPr>
                              <a:xfrm>
                                <a:off x="0" y="0"/>
                                <a:ext cx="1177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77"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453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6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Held Present</w:t>
            </w:r>
          </w:p>
        </w:tc>
        <w:tc>
          <w:tcPr>
            <w:tcW w:w="346" w:type="dxa"/>
            <w:tcBorders/>
            <w:vAlign w:val="center"/>
          </w:tcPr>
          <w:p>
            <w:pPr>
              <w:pStyle w:val="TableContents"/>
              <w:bidi w:val="0"/>
              <w:spacing w:before="0" w:after="1"/>
              <w:ind w:left="0" w:right="0" w:hanging="0"/>
              <w:jc w:val="left"/>
              <w:rPr/>
            </w:pPr>
            <w:r>
              <w:rPr/>
              <w:t>  ​ ​ ​</w:t>
            </w:r>
          </w:p>
        </w:tc>
        <w:tc>
          <w:tcPr>
            <w:tcW w:w="1855" w:type="dxa"/>
            <w:tcBorders/>
            <w:vAlign w:val="center"/>
          </w:tcPr>
          <w:p>
            <w:pPr>
              <w:pStyle w:val="TableContents"/>
              <w:bidi w:val="0"/>
              <w:spacing w:before="0" w:after="1"/>
              <w:ind w:left="0" w:right="0" w:hanging="0"/>
              <w:jc w:val="center"/>
              <w:rPr/>
            </w:pPr>
            <w:r>
              <w:rPr/>
              <w:t>​</w:t>
            </w:r>
          </w:p>
        </w:tc>
      </w:tr>
      <w:tr>
        <w:trPr/>
        <w:tc>
          <w:tcPr>
            <w:tcW w:w="137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146" w:type="dxa"/>
            <w:tcBorders/>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1"/>
              <w:ind w:left="0" w:right="0" w:hanging="0"/>
              <w:jc w:val="left"/>
              <w:rPr/>
            </w:pPr>
            <w:r>
              <w:rPr/>
              <w:t>​</w:t>
            </w:r>
          </w:p>
        </w:tc>
        <w:tc>
          <w:tcPr>
            <w:tcW w:w="45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Position &amp; Office</w:t>
            </w:r>
          </w:p>
        </w:tc>
        <w:tc>
          <w:tcPr>
            <w:tcW w:w="346" w:type="dxa"/>
            <w:tcBorders/>
            <w:vAlign w:val="center"/>
          </w:tcPr>
          <w:p>
            <w:pPr>
              <w:pStyle w:val="TableContents"/>
              <w:bidi w:val="0"/>
              <w:spacing w:before="0" w:after="1"/>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Office Since</w:t>
            </w:r>
          </w:p>
        </w:tc>
        <w:tc>
          <w:tcPr>
            <w:tcW w:w="346" w:type="dxa"/>
            <w:tcBorders/>
            <w:vAlign w:val="center"/>
          </w:tcPr>
          <w:p>
            <w:pPr>
              <w:pStyle w:val="TableContents"/>
              <w:bidi w:val="0"/>
              <w:spacing w:before="0" w:after="1"/>
              <w:ind w:left="0" w:right="0" w:hanging="0"/>
              <w:jc w:val="left"/>
              <w:rPr/>
            </w:pPr>
            <w:r>
              <w:rPr/>
              <w:t>​</w:t>
            </w:r>
          </w:p>
        </w:tc>
        <w:tc>
          <w:tcPr>
            <w:tcW w:w="185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Family Relationship to CEO</w:t>
            </w:r>
          </w:p>
        </w:tc>
      </w:tr>
      <w:tr>
        <w:trPr/>
        <w:tc>
          <w:tcPr>
            <w:tcW w:w="1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William Dillard, II</w:t>
            </w:r>
          </w:p>
        </w:tc>
        <w:tc>
          <w:tcPr>
            <w:tcW w:w="1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1"/>
              <w:ind w:left="0" w:right="0" w:hanging="0"/>
              <w:jc w:val="left"/>
              <w:rPr/>
            </w:pPr>
            <w:r>
              <w:rPr/>
              <w:t> </w:t>
            </w:r>
          </w:p>
        </w:tc>
        <w:tc>
          <w:tcPr>
            <w:tcW w:w="45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Chief Executive Officer</w:t>
            </w:r>
          </w:p>
        </w:tc>
        <w:tc>
          <w:tcPr>
            <w:tcW w:w="346"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1998</w:t>
            </w:r>
          </w:p>
        </w:tc>
        <w:tc>
          <w:tcPr>
            <w:tcW w:w="346" w:type="dxa"/>
            <w:tcBorders/>
            <w:shd w:fill="CCEEFF" w:val="clear"/>
            <w:vAlign w:val="center"/>
          </w:tcPr>
          <w:p>
            <w:pPr>
              <w:pStyle w:val="TableContents"/>
              <w:bidi w:val="0"/>
              <w:spacing w:before="0" w:after="1"/>
              <w:ind w:left="0" w:right="0" w:hanging="0"/>
              <w:jc w:val="left"/>
              <w:rPr/>
            </w:pPr>
            <w:r>
              <w:rPr/>
              <w:t> </w:t>
            </w:r>
          </w:p>
        </w:tc>
        <w:tc>
          <w:tcPr>
            <w:tcW w:w="1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 applicable</w:t>
            </w:r>
          </w:p>
        </w:tc>
      </w:tr>
      <w:tr>
        <w:trPr/>
        <w:tc>
          <w:tcPr>
            <w:tcW w:w="13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Alex Dillard</w:t>
            </w:r>
          </w:p>
        </w:tc>
        <w:tc>
          <w:tcPr>
            <w:tcW w:w="1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rPr/>
            </w:pPr>
            <w:r>
              <w:rPr/>
              <w:t> </w:t>
            </w:r>
          </w:p>
        </w:tc>
        <w:tc>
          <w:tcPr>
            <w:tcW w:w="45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President</w:t>
            </w:r>
          </w:p>
        </w:tc>
        <w:tc>
          <w:tcPr>
            <w:tcW w:w="346"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1998</w:t>
            </w:r>
          </w:p>
        </w:tc>
        <w:tc>
          <w:tcPr>
            <w:tcW w:w="34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Brother of William Dillard, II</w:t>
            </w:r>
          </w:p>
        </w:tc>
      </w:tr>
      <w:tr>
        <w:trPr/>
        <w:tc>
          <w:tcPr>
            <w:tcW w:w="1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Mike Dillard</w:t>
            </w:r>
          </w:p>
        </w:tc>
        <w:tc>
          <w:tcPr>
            <w:tcW w:w="1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1"/>
              <w:ind w:left="0" w:right="0" w:hanging="0"/>
              <w:jc w:val="left"/>
              <w:rPr/>
            </w:pPr>
            <w:r>
              <w:rPr/>
              <w:t> </w:t>
            </w:r>
          </w:p>
        </w:tc>
        <w:tc>
          <w:tcPr>
            <w:tcW w:w="45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Executive Vice President</w:t>
            </w:r>
          </w:p>
        </w:tc>
        <w:tc>
          <w:tcPr>
            <w:tcW w:w="346"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1984</w:t>
            </w:r>
          </w:p>
        </w:tc>
        <w:tc>
          <w:tcPr>
            <w:tcW w:w="346" w:type="dxa"/>
            <w:tcBorders/>
            <w:shd w:fill="CCEEFF" w:val="clear"/>
            <w:vAlign w:val="center"/>
          </w:tcPr>
          <w:p>
            <w:pPr>
              <w:pStyle w:val="TableContents"/>
              <w:bidi w:val="0"/>
              <w:spacing w:before="0" w:after="1"/>
              <w:ind w:left="0" w:right="0" w:hanging="0"/>
              <w:jc w:val="left"/>
              <w:rPr/>
            </w:pPr>
            <w:r>
              <w:rPr/>
              <w:t> </w:t>
            </w:r>
          </w:p>
        </w:tc>
        <w:tc>
          <w:tcPr>
            <w:tcW w:w="1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Brother of William Dillard, II</w:t>
            </w:r>
          </w:p>
        </w:tc>
      </w:tr>
      <w:tr>
        <w:trPr/>
        <w:tc>
          <w:tcPr>
            <w:tcW w:w="13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Drue Matheny</w:t>
            </w:r>
          </w:p>
        </w:tc>
        <w:tc>
          <w:tcPr>
            <w:tcW w:w="1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1"/>
              <w:ind w:left="0" w:right="0" w:hanging="0"/>
              <w:jc w:val="left"/>
              <w:rPr/>
            </w:pPr>
            <w:r>
              <w:rPr/>
              <w:t> </w:t>
            </w:r>
          </w:p>
        </w:tc>
        <w:tc>
          <w:tcPr>
            <w:tcW w:w="45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Executive Vice President</w:t>
            </w:r>
          </w:p>
        </w:tc>
        <w:tc>
          <w:tcPr>
            <w:tcW w:w="346"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1998</w:t>
            </w:r>
          </w:p>
        </w:tc>
        <w:tc>
          <w:tcPr>
            <w:tcW w:w="34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Sister of William Dillard, II</w:t>
            </w:r>
          </w:p>
        </w:tc>
      </w:tr>
      <w:tr>
        <w:trPr/>
        <w:tc>
          <w:tcPr>
            <w:tcW w:w="1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William Dillard, III</w:t>
            </w:r>
          </w:p>
        </w:tc>
        <w:tc>
          <w:tcPr>
            <w:tcW w:w="1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 </w:t>
            </w:r>
          </w:p>
        </w:tc>
        <w:tc>
          <w:tcPr>
            <w:tcW w:w="45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Senior Vice President</w:t>
            </w:r>
          </w:p>
        </w:tc>
        <w:tc>
          <w:tcPr>
            <w:tcW w:w="346"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2015</w:t>
            </w:r>
          </w:p>
        </w:tc>
        <w:tc>
          <w:tcPr>
            <w:tcW w:w="346" w:type="dxa"/>
            <w:tcBorders/>
            <w:shd w:fill="CCEEFF" w:val="clear"/>
            <w:vAlign w:val="center"/>
          </w:tcPr>
          <w:p>
            <w:pPr>
              <w:pStyle w:val="TableContents"/>
              <w:bidi w:val="0"/>
              <w:spacing w:before="0" w:after="1"/>
              <w:ind w:left="0" w:right="0" w:hanging="0"/>
              <w:jc w:val="left"/>
              <w:rPr/>
            </w:pPr>
            <w:r>
              <w:rPr/>
              <w:t> </w:t>
            </w:r>
          </w:p>
        </w:tc>
        <w:tc>
          <w:tcPr>
            <w:tcW w:w="1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Son of William Dillard, II</w:t>
            </w:r>
          </w:p>
        </w:tc>
      </w:tr>
      <w:tr>
        <w:trPr/>
        <w:tc>
          <w:tcPr>
            <w:tcW w:w="13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Denise Mahaffy</w:t>
            </w:r>
          </w:p>
        </w:tc>
        <w:tc>
          <w:tcPr>
            <w:tcW w:w="1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1"/>
              <w:ind w:left="0" w:right="0" w:hanging="0"/>
              <w:jc w:val="left"/>
              <w:rPr/>
            </w:pPr>
            <w:r>
              <w:rPr/>
              <w:t> </w:t>
            </w:r>
          </w:p>
        </w:tc>
        <w:tc>
          <w:tcPr>
            <w:tcW w:w="45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 Senior Vice President</w:t>
            </w:r>
          </w:p>
        </w:tc>
        <w:tc>
          <w:tcPr>
            <w:tcW w:w="346"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2015</w:t>
            </w:r>
          </w:p>
        </w:tc>
        <w:tc>
          <w:tcPr>
            <w:tcW w:w="34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Sister of William Dillard, II</w:t>
            </w:r>
          </w:p>
        </w:tc>
      </w:tr>
      <w:tr>
        <w:trPr/>
        <w:tc>
          <w:tcPr>
            <w:tcW w:w="1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Chris B. Johnson</w:t>
            </w:r>
          </w:p>
        </w:tc>
        <w:tc>
          <w:tcPr>
            <w:tcW w:w="1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1"/>
              <w:ind w:left="0" w:right="0" w:hanging="0"/>
              <w:jc w:val="left"/>
              <w:rPr/>
            </w:pPr>
            <w:r>
              <w:rPr/>
              <w:t> </w:t>
            </w:r>
          </w:p>
        </w:tc>
        <w:tc>
          <w:tcPr>
            <w:tcW w:w="45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Vice President; Co-Principal Financial Officer</w:t>
            </w:r>
          </w:p>
        </w:tc>
        <w:tc>
          <w:tcPr>
            <w:tcW w:w="346"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2015</w:t>
            </w:r>
          </w:p>
        </w:tc>
        <w:tc>
          <w:tcPr>
            <w:tcW w:w="346" w:type="dxa"/>
            <w:tcBorders/>
            <w:shd w:fill="CCEEFF" w:val="clear"/>
            <w:vAlign w:val="center"/>
          </w:tcPr>
          <w:p>
            <w:pPr>
              <w:pStyle w:val="TableContents"/>
              <w:bidi w:val="0"/>
              <w:spacing w:before="0" w:after="1"/>
              <w:ind w:left="0" w:right="0" w:hanging="0"/>
              <w:jc w:val="left"/>
              <w:rPr/>
            </w:pPr>
            <w:r>
              <w:rPr/>
              <w:t> </w:t>
            </w:r>
          </w:p>
        </w:tc>
        <w:tc>
          <w:tcPr>
            <w:tcW w:w="1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3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Phillip R. Watts</w:t>
            </w:r>
          </w:p>
        </w:tc>
        <w:tc>
          <w:tcPr>
            <w:tcW w:w="1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 </w:t>
            </w:r>
          </w:p>
        </w:tc>
        <w:tc>
          <w:tcPr>
            <w:tcW w:w="45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Vice President; Co-Principal Financial Officer and Principal Accounting Officer</w:t>
            </w:r>
          </w:p>
        </w:tc>
        <w:tc>
          <w:tcPr>
            <w:tcW w:w="346"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2015</w:t>
            </w:r>
          </w:p>
        </w:tc>
        <w:tc>
          <w:tcPr>
            <w:tcW w:w="34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Dean L. Worley</w:t>
            </w:r>
          </w:p>
        </w:tc>
        <w:tc>
          <w:tcPr>
            <w:tcW w:w="1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 </w:t>
            </w:r>
          </w:p>
        </w:tc>
        <w:tc>
          <w:tcPr>
            <w:tcW w:w="45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 General Counsel</w:t>
            </w:r>
          </w:p>
        </w:tc>
        <w:tc>
          <w:tcPr>
            <w:tcW w:w="346"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2012</w:t>
            </w:r>
          </w:p>
        </w:tc>
        <w:tc>
          <w:tcPr>
            <w:tcW w:w="346" w:type="dxa"/>
            <w:tcBorders/>
            <w:shd w:fill="CCEEFF" w:val="clear"/>
            <w:vAlign w:val="center"/>
          </w:tcPr>
          <w:p>
            <w:pPr>
              <w:pStyle w:val="TableContents"/>
              <w:bidi w:val="0"/>
              <w:spacing w:before="0" w:after="1"/>
              <w:ind w:left="0" w:right="0" w:hanging="0"/>
              <w:jc w:val="left"/>
              <w:rPr/>
            </w:pPr>
            <w:r>
              <w:rPr/>
              <w:t> </w:t>
            </w:r>
          </w:p>
        </w:tc>
        <w:tc>
          <w:tcPr>
            <w:tcW w:w="1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3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Brant Musgrave</w:t>
            </w:r>
          </w:p>
        </w:tc>
        <w:tc>
          <w:tcPr>
            <w:tcW w:w="1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1"/>
              <w:ind w:left="0" w:right="0" w:hanging="0"/>
              <w:jc w:val="left"/>
              <w:rPr/>
            </w:pPr>
            <w:r>
              <w:rPr/>
              <w:t> </w:t>
            </w:r>
          </w:p>
        </w:tc>
        <w:tc>
          <w:tcPr>
            <w:tcW w:w="45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w:t>
            </w:r>
          </w:p>
        </w:tc>
        <w:tc>
          <w:tcPr>
            <w:tcW w:w="346"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2014</w:t>
            </w:r>
          </w:p>
        </w:tc>
        <w:tc>
          <w:tcPr>
            <w:tcW w:w="34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Mike Litchford</w:t>
            </w:r>
          </w:p>
        </w:tc>
        <w:tc>
          <w:tcPr>
            <w:tcW w:w="1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 </w:t>
            </w:r>
          </w:p>
        </w:tc>
        <w:tc>
          <w:tcPr>
            <w:tcW w:w="45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w:t>
            </w:r>
          </w:p>
        </w:tc>
        <w:tc>
          <w:tcPr>
            <w:tcW w:w="346"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2016</w:t>
            </w:r>
          </w:p>
        </w:tc>
        <w:tc>
          <w:tcPr>
            <w:tcW w:w="346" w:type="dxa"/>
            <w:tcBorders/>
            <w:shd w:fill="CCEEFF" w:val="clear"/>
            <w:vAlign w:val="center"/>
          </w:tcPr>
          <w:p>
            <w:pPr>
              <w:pStyle w:val="TableContents"/>
              <w:bidi w:val="0"/>
              <w:spacing w:before="0" w:after="1"/>
              <w:ind w:left="0" w:right="0" w:hanging="0"/>
              <w:jc w:val="left"/>
              <w:rPr/>
            </w:pPr>
            <w:r>
              <w:rPr/>
              <w:t> </w:t>
            </w:r>
          </w:p>
        </w:tc>
        <w:tc>
          <w:tcPr>
            <w:tcW w:w="1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3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Tom Bolin</w:t>
            </w:r>
          </w:p>
        </w:tc>
        <w:tc>
          <w:tcPr>
            <w:tcW w:w="1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 </w:t>
            </w:r>
          </w:p>
        </w:tc>
        <w:tc>
          <w:tcPr>
            <w:tcW w:w="45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w:t>
            </w:r>
          </w:p>
        </w:tc>
        <w:tc>
          <w:tcPr>
            <w:tcW w:w="346"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2016</w:t>
            </w:r>
          </w:p>
        </w:tc>
        <w:tc>
          <w:tcPr>
            <w:tcW w:w="34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37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Annemarie Jazic </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pPr>
            <w:r>
              <w:rPr/>
              <w:t> </w:t>
            </w:r>
          </w:p>
        </w:tc>
        <w:tc>
          <w:tcPr>
            <w:tcW w:w="45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w:t>
            </w:r>
          </w:p>
        </w:tc>
        <w:tc>
          <w:tcPr>
            <w:tcW w:w="346"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1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Niece of William Dillard, II</w:t>
            </w:r>
          </w:p>
        </w:tc>
      </w:tr>
      <w:tr>
        <w:trPr/>
        <w:tc>
          <w:tcPr>
            <w:tcW w:w="13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Alexandra Lucie</w:t>
            </w:r>
          </w:p>
        </w:tc>
        <w:tc>
          <w:tcPr>
            <w:tcW w:w="146" w:type="dxa"/>
            <w:tcBorders/>
            <w:vAlign w:val="center"/>
          </w:tcPr>
          <w:p>
            <w:pPr>
              <w:pStyle w:val="TableContents"/>
              <w:bidi w:val="0"/>
              <w:spacing w:before="0" w:after="1"/>
              <w:ind w:left="0" w:right="0" w:hanging="0"/>
              <w:jc w:val="left"/>
              <w:rPr/>
            </w:pPr>
            <w:r>
              <w:rPr/>
              <w:t> </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 </w:t>
            </w:r>
          </w:p>
        </w:tc>
        <w:tc>
          <w:tcPr>
            <w:tcW w:w="45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w:t>
            </w:r>
          </w:p>
        </w:tc>
        <w:tc>
          <w:tcPr>
            <w:tcW w:w="346"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2017</w:t>
            </w:r>
          </w:p>
        </w:tc>
        <w:tc>
          <w:tcPr>
            <w:tcW w:w="346" w:type="dxa"/>
            <w:tcBorders/>
            <w:vAlign w:val="center"/>
          </w:tcPr>
          <w:p>
            <w:pPr>
              <w:pStyle w:val="TableContents"/>
              <w:bidi w:val="0"/>
              <w:spacing w:before="0" w:after="1"/>
              <w:ind w:left="0" w:right="0" w:hanging="0"/>
              <w:jc w:val="left"/>
              <w:rPr/>
            </w:pPr>
            <w:r>
              <w:rPr/>
              <w:t> </w:t>
            </w:r>
          </w:p>
        </w:tc>
        <w:tc>
          <w:tcPr>
            <w:tcW w:w="18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Niece of William Dillard, II</w:t>
            </w:r>
          </w:p>
        </w:tc>
      </w:tr>
      <w:tr>
        <w:trPr/>
        <w:tc>
          <w:tcPr>
            <w:tcW w:w="13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James D. Stockman</w:t>
            </w:r>
          </w:p>
        </w:tc>
        <w:tc>
          <w:tcPr>
            <w:tcW w:w="146"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1"/>
              <w:ind w:left="0" w:right="0" w:hanging="0"/>
              <w:jc w:val="left"/>
              <w:rPr/>
            </w:pPr>
            <w:r>
              <w:rPr/>
              <w:t> </w:t>
            </w:r>
          </w:p>
        </w:tc>
        <w:tc>
          <w:tcPr>
            <w:tcW w:w="45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w:t>
            </w:r>
          </w:p>
        </w:tc>
        <w:tc>
          <w:tcPr>
            <w:tcW w:w="346"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2017</w:t>
            </w:r>
          </w:p>
        </w:tc>
        <w:tc>
          <w:tcPr>
            <w:tcW w:w="346" w:type="dxa"/>
            <w:tcBorders/>
            <w:shd w:fill="CCEEFF" w:val="clear"/>
            <w:vAlign w:val="center"/>
          </w:tcPr>
          <w:p>
            <w:pPr>
              <w:pStyle w:val="TableContents"/>
              <w:bidi w:val="0"/>
              <w:spacing w:before="0" w:after="1"/>
              <w:ind w:left="0" w:right="0" w:hanging="0"/>
              <w:jc w:val="left"/>
              <w:rPr/>
            </w:pPr>
            <w:r>
              <w:rPr/>
              <w:t> </w:t>
            </w:r>
          </w:p>
        </w:tc>
        <w:tc>
          <w:tcPr>
            <w:tcW w:w="18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None</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Jazic served as Vice President of Online Experience from 2017 to 2024. In 2024, she added the role of Vice President of Information Technology.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1" w:name="PARTII_888744"/>
      <w:bookmarkStart w:id="72" w:name="_db63905b_8f74_40f1_967a_eba06e5f5b4a"/>
      <w:bookmarkEnd w:id="71"/>
      <w:bookmarkEnd w:id="72"/>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73" w:name="ITEM5MARKETFORREGISTRANTSCOMMONEQUITYREL"/>
      <w:bookmarkEnd w:id="73"/>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and Dividend Information for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Class A Common Stock trades on the New York Stock Exchange under the Ticker Symbol “DDS”. No public market currently exists for the Company’s Class B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the Company currently expects to continue paying quarterly cash dividends during fiscal 2026, all prospective dividends are subject to and conditional upon the review and approval of and declaration by the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February 28, 2026, there were 2,079 holders of record of the Company’s Class A Common Stock and 4 holders of record of the Company’s Class B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Repurchase of Common Stock</w:t>
      </w:r>
    </w:p>
    <w:tbl>
      <w:tblPr>
        <w:tblW w:w="10205" w:type="dxa"/>
        <w:jc w:val="left"/>
        <w:tblInd w:w="0" w:type="dxa"/>
        <w:tblLayout w:type="fixed"/>
        <w:tblCellMar>
          <w:top w:w="0" w:type="dxa"/>
          <w:left w:w="0" w:type="dxa"/>
          <w:bottom w:w="0" w:type="dxa"/>
          <w:right w:w="0" w:type="dxa"/>
        </w:tblCellMar>
      </w:tblPr>
      <w:tblGrid>
        <w:gridCol w:w="1107"/>
        <w:gridCol w:w="346"/>
        <w:gridCol w:w="1426"/>
        <w:gridCol w:w="346"/>
        <w:gridCol w:w="545"/>
        <w:gridCol w:w="896"/>
        <w:gridCol w:w="346"/>
        <w:gridCol w:w="2221"/>
        <w:gridCol w:w="346"/>
        <w:gridCol w:w="380"/>
        <w:gridCol w:w="2246"/>
      </w:tblGrid>
      <w:tr>
        <w:trPr/>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02945" cy="175260"/>
                      <wp:effectExtent l="0" t="0" r="0" b="0"/>
                      <wp:wrapNone/>
                      <wp:docPr id="46" name="Frame46"/>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905510" cy="175260"/>
                      <wp:effectExtent l="0" t="0" r="0" b="0"/>
                      <wp:wrapNone/>
                      <wp:docPr id="48" name="Frame4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46075" cy="175260"/>
                      <wp:effectExtent l="0" t="0" r="0" b="0"/>
                      <wp:wrapNone/>
                      <wp:docPr id="50" name="Frame50"/>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8960" cy="175260"/>
                      <wp:effectExtent l="0" t="0" r="0" b="0"/>
                      <wp:wrapNone/>
                      <wp:docPr id="51" name="Frame5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10335" cy="175260"/>
                      <wp:effectExtent l="0" t="0" r="0" b="0"/>
                      <wp:wrapNone/>
                      <wp:docPr id="53" name="Frame53"/>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41300" cy="175260"/>
                      <wp:effectExtent l="0" t="0" r="0" b="0"/>
                      <wp:wrapNone/>
                      <wp:docPr id="55" name="Frame55"/>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26210" cy="175260"/>
                      <wp:effectExtent l="0" t="0" r="0" b="0"/>
                      <wp:wrapNone/>
                      <wp:docPr id="56" name="Frame56"/>
                      <a:graphic xmlns:a="http://schemas.openxmlformats.org/drawingml/2006/main">
                        <a:graphicData uri="http://schemas.microsoft.com/office/word/2010/wordprocessingShape">
                          <wps:wsp>
                            <wps:cNvSpPr txBox="1"/>
                            <wps:spPr>
                              <a:xfrm>
                                <a:off x="0" y="0"/>
                                <a:ext cx="142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5" w:type="dxa"/>
            <w:tcBorders/>
            <w:vAlign w:val="center"/>
          </w:tcPr>
          <w:p>
            <w:pPr>
              <w:pStyle w:val="TableContents"/>
              <w:bidi w:val="0"/>
              <w:spacing w:before="0" w:after="1"/>
              <w:ind w:left="0" w:right="0" w:hanging="0"/>
              <w:jc w:val="center"/>
              <w:rPr/>
            </w:pPr>
            <w:r>
              <w:rPr/>
              <w:t>​</w:t>
            </w:r>
          </w:p>
        </w:tc>
        <w:tc>
          <w:tcPr>
            <w:tcW w:w="8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80" w:type="dxa"/>
            <w:tcBorders/>
            <w:vAlign w:val="center"/>
          </w:tcPr>
          <w:p>
            <w:pPr>
              <w:pStyle w:val="TableContents"/>
              <w:bidi w:val="0"/>
              <w:spacing w:before="0" w:after="1"/>
              <w:ind w:left="0" w:right="0" w:hanging="0"/>
              <w:jc w:val="center"/>
              <w:rPr/>
            </w:pPr>
            <w:r>
              <w:rPr/>
              <w:t>​</w:t>
            </w:r>
          </w:p>
        </w:tc>
        <w:tc>
          <w:tcPr>
            <w:tcW w:w="2246" w:type="dxa"/>
            <w:tcBorders/>
            <w:vAlign w:val="center"/>
          </w:tcPr>
          <w:p>
            <w:pPr>
              <w:pStyle w:val="TableContents"/>
              <w:bidi w:val="0"/>
              <w:spacing w:before="0" w:after="1"/>
              <w:ind w:left="0" w:right="0" w:hanging="0"/>
              <w:jc w:val="center"/>
              <w:rPr/>
            </w:pPr>
            <w:r>
              <w:rPr/>
              <w:t>​</w:t>
            </w:r>
          </w:p>
        </w:tc>
      </w:tr>
      <w:tr>
        <w:trPr/>
        <w:tc>
          <w:tcPr>
            <w:tcW w:w="11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 ​ ​</w:t>
            </w:r>
          </w:p>
        </w:tc>
        <w:tc>
          <w:tcPr>
            <w:tcW w:w="545"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22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 Total Number of Shares   </w:t>
            </w:r>
          </w:p>
        </w:tc>
        <w:tc>
          <w:tcPr>
            <w:tcW w:w="346" w:type="dxa"/>
            <w:tcBorders/>
            <w:vAlign w:val="center"/>
          </w:tcPr>
          <w:p>
            <w:pPr>
              <w:pStyle w:val="TableContents"/>
              <w:bidi w:val="0"/>
              <w:spacing w:before="0" w:after="1"/>
              <w:ind w:left="0" w:right="0" w:hanging="0"/>
              <w:jc w:val="left"/>
              <w:rPr/>
            </w:pPr>
            <w:r>
              <w:rPr/>
              <w:t>  ​ ​ ​</w:t>
            </w:r>
          </w:p>
        </w:tc>
        <w:tc>
          <w:tcPr>
            <w:tcW w:w="26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 Approximate Dollar Value of  </w:t>
            </w:r>
          </w:p>
        </w:tc>
      </w:tr>
      <w:tr>
        <w:trPr/>
        <w:tc>
          <w:tcPr>
            <w:tcW w:w="11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as Part</w:t>
            </w:r>
          </w:p>
        </w:tc>
        <w:tc>
          <w:tcPr>
            <w:tcW w:w="346" w:type="dxa"/>
            <w:tcBorders/>
            <w:vAlign w:val="center"/>
          </w:tcPr>
          <w:p>
            <w:pPr>
              <w:pStyle w:val="TableContents"/>
              <w:bidi w:val="0"/>
              <w:spacing w:before="0" w:after="1"/>
              <w:ind w:left="0" w:right="0" w:hanging="0"/>
              <w:jc w:val="left"/>
              <w:rPr/>
            </w:pPr>
            <w:r>
              <w:rPr/>
              <w:t>​</w:t>
            </w:r>
          </w:p>
        </w:tc>
        <w:tc>
          <w:tcPr>
            <w:tcW w:w="26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that May</w:t>
            </w:r>
          </w:p>
        </w:tc>
      </w:tr>
      <w:tr>
        <w:trPr/>
        <w:tc>
          <w:tcPr>
            <w:tcW w:w="11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 Total Number </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Publicly</w:t>
            </w:r>
          </w:p>
        </w:tc>
        <w:tc>
          <w:tcPr>
            <w:tcW w:w="346" w:type="dxa"/>
            <w:tcBorders/>
            <w:vAlign w:val="center"/>
          </w:tcPr>
          <w:p>
            <w:pPr>
              <w:pStyle w:val="TableContents"/>
              <w:bidi w:val="0"/>
              <w:spacing w:before="0" w:after="1"/>
              <w:ind w:left="0" w:right="0" w:hanging="0"/>
              <w:jc w:val="left"/>
              <w:rPr/>
            </w:pPr>
            <w:r>
              <w:rPr/>
              <w:t>​</w:t>
            </w:r>
          </w:p>
        </w:tc>
        <w:tc>
          <w:tcPr>
            <w:tcW w:w="26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Yet Be Purchased </w:t>
            </w:r>
          </w:p>
        </w:tc>
      </w:tr>
      <w:tr>
        <w:trPr/>
        <w:tc>
          <w:tcPr>
            <w:tcW w:w="11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 </w:t>
            </w:r>
          </w:p>
        </w:tc>
        <w:tc>
          <w:tcPr>
            <w:tcW w:w="346" w:type="dxa"/>
            <w:tcBorders/>
            <w:vAlign w:val="center"/>
          </w:tcPr>
          <w:p>
            <w:pPr>
              <w:pStyle w:val="TableContents"/>
              <w:bidi w:val="0"/>
              <w:spacing w:before="0" w:after="1"/>
              <w:ind w:left="0" w:right="0" w:hanging="0"/>
              <w:jc w:val="right"/>
              <w:rPr/>
            </w:pPr>
            <w:r>
              <w:rPr/>
              <w:t>​</w:t>
            </w:r>
          </w:p>
        </w:tc>
        <w:tc>
          <w:tcPr>
            <w:tcW w:w="14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 Average Price </w:t>
            </w:r>
          </w:p>
        </w:tc>
        <w:tc>
          <w:tcPr>
            <w:tcW w:w="346" w:type="dxa"/>
            <w:tcBorders/>
            <w:vAlign w:val="center"/>
          </w:tcPr>
          <w:p>
            <w:pPr>
              <w:pStyle w:val="TableContents"/>
              <w:bidi w:val="0"/>
              <w:spacing w:before="0" w:after="1"/>
              <w:ind w:left="0" w:right="0" w:hanging="0"/>
              <w:jc w:val="left"/>
              <w:rPr/>
            </w:pPr>
            <w:r>
              <w:rPr/>
              <w:t>​</w:t>
            </w:r>
          </w:p>
        </w:tc>
        <w:tc>
          <w:tcPr>
            <w:tcW w:w="22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Announced Plans </w:t>
            </w:r>
          </w:p>
        </w:tc>
        <w:tc>
          <w:tcPr>
            <w:tcW w:w="346" w:type="dxa"/>
            <w:tcBorders/>
            <w:vAlign w:val="center"/>
          </w:tcPr>
          <w:p>
            <w:pPr>
              <w:pStyle w:val="TableContents"/>
              <w:bidi w:val="0"/>
              <w:spacing w:before="0" w:after="1"/>
              <w:ind w:left="0" w:right="0" w:hanging="0"/>
              <w:jc w:val="left"/>
              <w:rPr/>
            </w:pPr>
            <w:r>
              <w:rPr/>
              <w:t>​</w:t>
            </w:r>
          </w:p>
        </w:tc>
        <w:tc>
          <w:tcPr>
            <w:tcW w:w="26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the Plans </w:t>
            </w:r>
          </w:p>
        </w:tc>
      </w:tr>
      <w:tr>
        <w:trPr/>
        <w:tc>
          <w:tcPr>
            <w:tcW w:w="110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46" w:type="dxa"/>
            <w:tcBorders/>
            <w:vAlign w:val="center"/>
          </w:tcPr>
          <w:p>
            <w:pPr>
              <w:pStyle w:val="TableContents"/>
              <w:bidi w:val="0"/>
              <w:spacing w:before="0" w:after="1"/>
              <w:ind w:left="0" w:right="0" w:hanging="0"/>
              <w:jc w:val="righ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1"/>
              <w:ind w:left="0" w:right="0" w:hanging="0"/>
              <w:jc w:val="left"/>
              <w:rPr/>
            </w:pPr>
            <w:r>
              <w:rPr/>
              <w:t>​</w:t>
            </w:r>
          </w:p>
        </w:tc>
        <w:tc>
          <w:tcPr>
            <w:tcW w:w="22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Programs</w:t>
            </w:r>
          </w:p>
        </w:tc>
        <w:tc>
          <w:tcPr>
            <w:tcW w:w="346" w:type="dxa"/>
            <w:tcBorders/>
            <w:vAlign w:val="center"/>
          </w:tcPr>
          <w:p>
            <w:pPr>
              <w:pStyle w:val="TableContents"/>
              <w:bidi w:val="0"/>
              <w:spacing w:before="0" w:after="1"/>
              <w:ind w:left="0" w:right="0" w:hanging="0"/>
              <w:jc w:val="left"/>
              <w:rPr/>
            </w:pPr>
            <w:r>
              <w:rPr/>
              <w:t>​</w:t>
            </w:r>
          </w:p>
        </w:tc>
        <w:tc>
          <w:tcPr>
            <w:tcW w:w="26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Programs</w:t>
            </w:r>
          </w:p>
        </w:tc>
      </w:tr>
      <w:tr>
        <w:trPr/>
        <w:tc>
          <w:tcPr>
            <w:tcW w:w="11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2, 2025 through November 29, 2025</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165,215,709</w:t>
            </w:r>
          </w:p>
        </w:tc>
      </w:tr>
      <w:tr>
        <w:trPr/>
        <w:tc>
          <w:tcPr>
            <w:tcW w:w="11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30, 2025 through January 3, 2026</w:t>
            </w:r>
          </w:p>
        </w:tc>
        <w:tc>
          <w:tcPr>
            <w:tcW w:w="34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2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165,215,709</w:t>
            </w:r>
          </w:p>
        </w:tc>
      </w:tr>
      <w:tr>
        <w:trPr/>
        <w:tc>
          <w:tcPr>
            <w:tcW w:w="11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4, 2026 through January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165,215,709</w:t>
            </w:r>
          </w:p>
        </w:tc>
      </w:tr>
      <w:tr>
        <w:trPr/>
        <w:tc>
          <w:tcPr>
            <w:tcW w:w="11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14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165,215,709</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May 2023, the Company’s Board of Directors approved a stock repurchase program authorizing the Company to repurchase up to $500 million of its Class A Common Stock under an open-ended plan (“May 2023 Stock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May 2023 Stock Plan permits the Company to repurchase its Class A Common Stock in the open market, pursuant to preset trading plans meeting the requirements of Rule 10b5-1 under the Exchange Act or through privately negotiated transactions. The May 2023 Stock Plan has no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All repurchases of the Company’s Class A Common Stock in fiscal 2025 were made at the market price at the trade date, and all amounts paid to reacquire these shares were allocated to treasury stock. As of January 31, 2026, $165.2 million of authorization remained under the May 2023 Stock Plan.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Reference is made to the discussion in Note 9 in the “Notes to Consolidated Financial Statements” in Item 8 of this Annual Report, which information is incorporated by reference herein.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concerning the Company’s equity compensation plans is incorporated herein by reference from Item 12 of this Annual Report under the heading “Equity Compensation Plan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Performance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graph below compares the cumulative total returns on the Company’s Class A Common Stock, the Standard &amp; Poor’s 500 Index and the Dow Jones U.S. Apparel Retailers Index for each of the last five fiscal years. The cumulative total return assumes $100 invested in the Company’s Class A Common Stock and each of the indices at market close on January 29, 2021 (the last trading day prior to the start of fiscal 2021) and assumes reinvestment of dividends.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table below the graph shows the dollar value of the respective $100 investments, with the assumptions noted above, in each of the Company’s Class A Common Stock, the Standard &amp; Poor’s 500 Index and the Dow Jones U.S. Apparel Retailers Index as of the last day of each of the Company’s last five fiscal years. </w:t>
      </w:r>
    </w:p>
    <w:p>
      <w:pPr>
        <w:pStyle w:val="TextBody"/>
        <w:bidi w:val="0"/>
        <w:spacing w:before="0" w:after="0"/>
        <w:ind w:left="0" w:right="0" w:hanging="0"/>
        <w:jc w:val="left"/>
        <w:rPr/>
      </w:pPr>
      <w:r>
        <w:rPr/>
        <w:drawing>
          <wp:inline distT="0" distB="0" distL="0" distR="0">
            <wp:extent cx="6188075" cy="4822190"/>
            <wp:effectExtent l="0" t="0" r="0" b="0"/>
            <wp:docPr id="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 descr=""/>
                    <pic:cNvPicPr>
                      <a:picLocks noChangeAspect="1" noChangeArrowheads="1"/>
                    </pic:cNvPicPr>
                  </pic:nvPicPr>
                  <pic:blipFill>
                    <a:blip r:embed="rId2"/>
                    <a:stretch>
                      <a:fillRect/>
                    </a:stretch>
                  </pic:blipFill>
                  <pic:spPr bwMode="auto">
                    <a:xfrm>
                      <a:off x="0" y="0"/>
                      <a:ext cx="6188075" cy="4822190"/>
                    </a:xfrm>
                    <a:prstGeom prst="rect">
                      <a:avLst/>
                    </a:prstGeom>
                  </pic:spPr>
                </pic:pic>
              </a:graphicData>
            </a:graphic>
          </wp:inline>
        </w:drawing>
      </w:r>
    </w:p>
    <w:p>
      <w:pPr>
        <w:pStyle w:val="TextBody"/>
        <w:bidi w:val="0"/>
        <w:spacing w:before="0" w:after="240"/>
        <w:ind w:left="0" w:right="0" w:hanging="0"/>
        <w:jc w:val="left"/>
        <w:rPr/>
      </w:pPr>
      <w:r>
        <w:rPr/>
        <w:t>​</w:t>
      </w:r>
    </w:p>
    <w:tbl>
      <w:tblPr>
        <w:tblW w:w="8281" w:type="dxa"/>
        <w:jc w:val="left"/>
        <w:tblInd w:w="0" w:type="dxa"/>
        <w:tblLayout w:type="fixed"/>
        <w:tblCellMar>
          <w:top w:w="0" w:type="dxa"/>
          <w:left w:w="0" w:type="dxa"/>
          <w:bottom w:w="0" w:type="dxa"/>
          <w:right w:w="0" w:type="dxa"/>
        </w:tblCellMar>
      </w:tblPr>
      <w:tblGrid>
        <w:gridCol w:w="2071"/>
        <w:gridCol w:w="346"/>
        <w:gridCol w:w="211"/>
        <w:gridCol w:w="676"/>
        <w:gridCol w:w="346"/>
        <w:gridCol w:w="211"/>
        <w:gridCol w:w="676"/>
        <w:gridCol w:w="346"/>
        <w:gridCol w:w="211"/>
        <w:gridCol w:w="676"/>
        <w:gridCol w:w="346"/>
        <w:gridCol w:w="211"/>
        <w:gridCol w:w="676"/>
        <w:gridCol w:w="346"/>
        <w:gridCol w:w="211"/>
        <w:gridCol w:w="721"/>
      </w:tblGrid>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29260" cy="175260"/>
                      <wp:effectExtent l="0" t="0" r="0" b="0"/>
                      <wp:wrapNone/>
                      <wp:docPr id="60" name="Frame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29260" cy="175260"/>
                      <wp:effectExtent l="0" t="0" r="0" b="0"/>
                      <wp:wrapNone/>
                      <wp:docPr id="63" name="Frame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29260" cy="175260"/>
                      <wp:effectExtent l="0" t="0" r="0" b="0"/>
                      <wp:wrapNone/>
                      <wp:docPr id="66" name="Frame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29260" cy="175260"/>
                      <wp:effectExtent l="0" t="0" r="0" b="0"/>
                      <wp:wrapNone/>
                      <wp:docPr id="69" name="Frame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57835" cy="175260"/>
                      <wp:effectExtent l="0" t="0" r="0" b="0"/>
                      <wp:wrapNone/>
                      <wp:docPr id="72" name="Frame7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Dillard's, Inc.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299.72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476.32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517.95</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657.28</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892.65</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S&amp;P 500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121.00</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112.98</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139.91</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172.77</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201.02</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DJ US Apparel Retailers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109.36</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120.82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139.02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172.55</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209.18</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 w:name="ITEM7MANAGEMENTSDISCUSSIONANDANALYSISOFF"/>
      <w:bookmarkStart w:id="75" w:name="_d880e6e6_ae24_4de7_b6cf_dd3ff965f82b"/>
      <w:bookmarkEnd w:id="74"/>
      <w:bookmarkEnd w:id="75"/>
      <w:r>
        <w:rPr>
          <w:rFonts w:ascii="Times New Roman;Times;serif" w:hAnsi="Times New Roman;Times;serif"/>
          <w:b/>
          <w:sz w:val="20"/>
        </w:rPr>
        <w:t>ITEM 7.   MANAGEMENT’S DISCUSSION AND ANALYSIS OF FINANCIAL CONDITION AND RESULTS OF OPERATIONS</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January 31, 2026, Dillard’s, Inc. operates 271 retail department stores spanning 30 states and an Internet store at dillards.com. The Company also operates a general contracting construction company, CDI Contractors, LLC (“CDI”), a portion of whose business includes constructing and remodeling stores for the Company, which is a reportable segment separate from our retail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the National Retail Federation fiscal reporting calendar and our bylaws, the fiscal 2025 reporting period presented and discussed below ended January 31, 2026 and contained 52 weeks. The fiscal 2024 reporting period presented and discussed below ended February 1, 2025 and contained 52 weeks. The fiscal 2023 reporting period presented and discussed below ended February 3, 2024 and contained 53 weeks. For comparability purposes, where noted, some of the information discussed below is based upon comparison of the 52 weeks ended February 1, 2025 to the 52 weeks ended February 3, 2024. Additionally, some of the information discussed below is based upon comparison of the 52 weeks ended January 27, 2024 to the 52 weeks ended January 28,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discussion regarding results of operations and analysis of financial condition for the year ended February 1, 2025 as compared to the year ended February 3, 2024 is included in Item 7 of Part II, “Management’s Discussion and Analysis of Financial Condition and Results of Operations” of our Annual Report on Form 10-K for the year ended February 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Fiscal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achieved a respectable performance for fiscal year 2025, reporting net income of $570.2 million. In a rapidly changing merchandising environment characterized by unpredictable costs, we focused on maintaining gross margin performance. Our retail gross margin stood at 40.8% while sales remained unchanged (as a percentage) compared to fiscal 2024. We kept shareholder return a priority. We paid $484.9 million in dividends, highlighted by the largest special dividend in our history. Additionally, we repurchased $107.8 million of stock. Following these efforts, we held approximately $1.1 billion in cash and cash equivalents and short-term investments at year end and remained in a strong financial position.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Total retail sales for fiscal 2025 and fiscal 2024 were $6.232 billion and $6.219 billion, respectively. Total retail sales were unchanged as a percentage for fiscal 2025 compared to fiscal 2024. Sales in comparable stores for the same period were also unchanged. </w:t>
      </w:r>
    </w:p>
    <w:p>
      <w:pPr>
        <w:pStyle w:val="TextBody"/>
        <w:bidi w:val="0"/>
        <w:spacing w:before="0" w:after="0"/>
        <w:ind w:left="0" w:right="0" w:firstLine="36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Consolidated gross margin for both fiscal 2025 and fiscal 2024 was 39.5% of sales. Retail gross margin for fiscal 2025 was 40.8% of sales compared to 41.0% of sales for fiscal 2024. Inventory increased 2% at January 31, 2026 compared to February 1, 2025. </w:t>
      </w:r>
    </w:p>
    <w:p>
      <w:pPr>
        <w:pStyle w:val="TextBody"/>
        <w:bidi w:val="0"/>
        <w:spacing w:before="0" w:after="0"/>
        <w:ind w:left="0" w:right="0" w:firstLine="36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Consolidated selling, general and administrative expenses (“operating expenses”) for fiscal 2025 were $1,759.2 million (27.2% of sales) compared to $1,731.2 million (26.7% of sales) for fiscal 2024. The increase in operating expenses is primarily due to increased payroll and payroll-related expenses.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reported net income for fiscal 2025 of $570.2 million, or $36.42 per share, compared to $593.5 million, or $36.82 per share, for fiscal 2024. Included in net income for fiscal 2025 are the following items: </w:t>
      </w:r>
    </w:p>
    <w:p>
      <w:pPr>
        <w:pStyle w:val="TextBody"/>
        <w:bidi w:val="0"/>
        <w:spacing w:before="0" w:after="0"/>
        <w:ind w:left="0" w:right="0" w:firstLine="360"/>
        <w:jc w:val="left"/>
        <w:rPr/>
      </w:pPr>
      <w:r>
        <w:rPr/>
        <w:t>​</w:t>
      </w:r>
    </w:p>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pretax gain of $20.4 million ($15.7 million after tax or $1.00 per share) primarily related to the sale of five properties </w:t>
            </w:r>
          </w:p>
        </w:tc>
      </w:tr>
    </w:tbl>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and state income tax benefits of $35.0 million ($2.24 per share) due to a deduction related to that portion of the special dividend of $30.00 per share that was paid to the Dillard's, Inc. Investment and Employee Stock Ownership Plan during the year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Included in net income for fiscal 2024 are federal and state income tax benefits of $30.8 million ($1.91 per share) due to a deduction related to that portion of the special dividend of $25.00 per share that was paid to the Dillard's, Inc. Investment and Employee Stock Ownership Plan during the year.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Cash flow from operations was $717.0 million for fiscal 2025 and $714.1 million for fiscal 2024. During fiscal 2025, we returned a record $592.6 million of cash to stockholders in the form of dividends and share repurchases. At January 31, 2026, authorization of $165.2 million remained under the share repurchase program. </w:t>
      </w:r>
    </w:p>
    <w:p>
      <w:pPr>
        <w:pStyle w:val="TextBody"/>
        <w:bidi w:val="0"/>
        <w:spacing w:before="0" w:after="0"/>
        <w:ind w:left="0" w:right="0" w:firstLine="36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At January 31, 2026, we had working capital of $1,484.5 million (including cash and cash equivalents and short-term investments totaling $1,073.0 million) and total debt outstanding of $521.7 million excluding operating lease liabilities.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Indicators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use a number of key indicators of financial condition and operating performance to evaluate our business, including the following:</w:t>
      </w:r>
    </w:p>
    <w:tbl>
      <w:tblPr>
        <w:tblW w:w="10205" w:type="dxa"/>
        <w:jc w:val="left"/>
        <w:tblInd w:w="0" w:type="dxa"/>
        <w:tblLayout w:type="fixed"/>
        <w:tblCellMar>
          <w:top w:w="0" w:type="dxa"/>
          <w:left w:w="0" w:type="dxa"/>
          <w:bottom w:w="0" w:type="dxa"/>
          <w:right w:w="0" w:type="dxa"/>
        </w:tblCellMar>
      </w:tblPr>
      <w:tblGrid>
        <w:gridCol w:w="5839"/>
        <w:gridCol w:w="109"/>
        <w:gridCol w:w="211"/>
        <w:gridCol w:w="721"/>
        <w:gridCol w:w="361"/>
        <w:gridCol w:w="109"/>
        <w:gridCol w:w="211"/>
        <w:gridCol w:w="721"/>
        <w:gridCol w:w="361"/>
        <w:gridCol w:w="211"/>
        <w:gridCol w:w="721"/>
        <w:gridCol w:w="271"/>
        <w:gridCol w:w="359"/>
      </w:tblGrid>
      <w:tr>
        <w:trPr/>
        <w:tc>
          <w:tcPr>
            <w:tcW w:w="583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57835" cy="175260"/>
                      <wp:effectExtent l="0" t="0" r="0" b="0"/>
                      <wp:wrapNone/>
                      <wp:docPr id="75" name="Frame7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29235" cy="175260"/>
                      <wp:effectExtent l="0" t="0" r="0" b="0"/>
                      <wp:wrapNone/>
                      <wp:docPr id="76" name="Frame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57835" cy="175260"/>
                      <wp:effectExtent l="0" t="0" r="0" b="0"/>
                      <wp:wrapNone/>
                      <wp:docPr id="79" name="Frame7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29235" cy="175260"/>
                      <wp:effectExtent l="0" t="0" r="0" b="0"/>
                      <wp:wrapNone/>
                      <wp:docPr id="80" name="Frame7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57835" cy="175260"/>
                      <wp:effectExtent l="0" t="0" r="0" b="0"/>
                      <wp:wrapNone/>
                      <wp:docPr id="82" name="Frame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72085" cy="175260"/>
                      <wp:effectExtent l="0" t="0" r="0" b="0"/>
                      <wp:wrapNone/>
                      <wp:docPr id="83" name="Frame8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27965" cy="175260"/>
                      <wp:effectExtent l="0" t="0" r="0" b="0"/>
                      <wp:wrapNone/>
                      <wp:docPr id="84" name="Frame83"/>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3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61" w:type="dxa"/>
            <w:tcBorders/>
            <w:vAlign w:val="center"/>
          </w:tcPr>
          <w:p>
            <w:pPr>
              <w:pStyle w:val="TableContents"/>
              <w:bidi w:val="0"/>
              <w:spacing w:before="0" w:after="1"/>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2023</w:t>
            </w:r>
          </w:p>
        </w:tc>
        <w:tc>
          <w:tcPr>
            <w:tcW w:w="271" w:type="dxa"/>
            <w:tcBorders/>
            <w:vAlign w:val="center"/>
          </w:tcPr>
          <w:p>
            <w:pPr>
              <w:pStyle w:val="TableContents"/>
              <w:bidi w:val="0"/>
              <w:spacing w:before="0" w:after="1"/>
              <w:ind w:left="0" w:right="0" w:hanging="0"/>
              <w:jc w:val="center"/>
              <w:rPr/>
            </w:pPr>
            <w:r>
              <w:rPr/>
              <w:t>​</w:t>
            </w:r>
          </w:p>
        </w:tc>
        <w:tc>
          <w:tcPr>
            <w:tcW w:w="359" w:type="dxa"/>
            <w:tcBorders/>
            <w:vAlign w:val="center"/>
          </w:tcPr>
          <w:p>
            <w:pPr>
              <w:pStyle w:val="TableContents"/>
              <w:bidi w:val="0"/>
              <w:spacing w:before="0" w:after="1"/>
              <w:ind w:left="0" w:right="0" w:hanging="0"/>
              <w:jc w:val="center"/>
              <w:rPr/>
            </w:pPr>
            <w:r>
              <w:rPr/>
              <w:t> </w:t>
            </w:r>
          </w:p>
        </w:tc>
      </w:tr>
      <w:tr>
        <w:trPr/>
        <w:tc>
          <w:tcPr>
            <w:tcW w:w="58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(in millions)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6,473.6</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6,482.6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6,752.1</w:t>
            </w:r>
          </w:p>
        </w:tc>
        <w:tc>
          <w:tcPr>
            <w:tcW w:w="271" w:type="dxa"/>
            <w:tcBorders/>
            <w:shd w:fill="CCEEFF" w:val="clear"/>
            <w:vAlign w:val="center"/>
          </w:tcPr>
          <w:p>
            <w:pPr>
              <w:pStyle w:val="TableContents"/>
              <w:bidi w:val="0"/>
              <w:spacing w:before="0" w:after="1"/>
              <w:ind w:left="0" w:right="0" w:hanging="0"/>
              <w:jc w:val="right"/>
              <w:rPr/>
            </w:pPr>
            <w:r>
              <w:rPr/>
              <w:t>​</w:t>
            </w:r>
          </w:p>
        </w:tc>
        <w:tc>
          <w:tcPr>
            <w:tcW w:w="359" w:type="dxa"/>
            <w:tcBorders/>
            <w:shd w:fill="CCEEFF" w:val="clear"/>
            <w:vAlign w:val="center"/>
          </w:tcPr>
          <w:p>
            <w:pPr>
              <w:pStyle w:val="TableContents"/>
              <w:bidi w:val="0"/>
              <w:spacing w:before="0" w:after="1"/>
              <w:ind w:left="0" w:right="0" w:hanging="0"/>
              <w:jc w:val="left"/>
              <w:rPr/>
            </w:pPr>
            <w:r>
              <w:rPr/>
              <w:t>​</w:t>
            </w:r>
          </w:p>
        </w:tc>
      </w:tr>
      <w:tr>
        <w:trPr/>
        <w:tc>
          <w:tcPr>
            <w:tcW w:w="58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 (in millions)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2,556.8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2,563.1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2,720.9</w:t>
            </w:r>
          </w:p>
        </w:tc>
        <w:tc>
          <w:tcPr>
            <w:tcW w:w="271" w:type="dxa"/>
            <w:tcBorders/>
            <w:vAlign w:val="center"/>
          </w:tcPr>
          <w:p>
            <w:pPr>
              <w:pStyle w:val="TableContents"/>
              <w:bidi w:val="0"/>
              <w:spacing w:before="0" w:after="1"/>
              <w:ind w:left="0" w:right="0" w:hanging="0"/>
              <w:jc w:val="right"/>
              <w:rPr/>
            </w:pPr>
            <w:r>
              <w:rPr/>
              <w:t>​</w:t>
            </w:r>
          </w:p>
        </w:tc>
        <w:tc>
          <w:tcPr>
            <w:tcW w:w="359" w:type="dxa"/>
            <w:tcBorders/>
            <w:vAlign w:val="center"/>
          </w:tcPr>
          <w:p>
            <w:pPr>
              <w:pStyle w:val="TableContents"/>
              <w:bidi w:val="0"/>
              <w:spacing w:before="0" w:after="1"/>
              <w:ind w:left="0" w:right="0" w:hanging="0"/>
              <w:jc w:val="left"/>
              <w:rPr/>
            </w:pPr>
            <w:r>
              <w:rPr/>
              <w:t>​</w:t>
            </w:r>
          </w:p>
        </w:tc>
      </w:tr>
      <w:tr>
        <w:trPr/>
        <w:tc>
          <w:tcPr>
            <w:tcW w:w="58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 as a percentage of 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9" w:type="dxa"/>
            <w:tcBorders/>
            <w:shd w:fill="CCEEFF" w:val="clear"/>
            <w:vAlign w:val="center"/>
          </w:tcPr>
          <w:p>
            <w:pPr>
              <w:pStyle w:val="TableContents"/>
              <w:bidi w:val="0"/>
              <w:spacing w:before="0" w:after="1"/>
              <w:ind w:left="0" w:right="0" w:hanging="0"/>
              <w:jc w:val="left"/>
              <w:rPr/>
            </w:pPr>
            <w:r>
              <w:rPr/>
              <w:t>​</w:t>
            </w:r>
          </w:p>
        </w:tc>
      </w:tr>
      <w:tr>
        <w:trPr/>
        <w:tc>
          <w:tcPr>
            <w:tcW w:w="58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gross margin as a percentage of retail net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9" w:type="dxa"/>
            <w:tcBorders/>
            <w:vAlign w:val="center"/>
          </w:tcPr>
          <w:p>
            <w:pPr>
              <w:pStyle w:val="TableContents"/>
              <w:bidi w:val="0"/>
              <w:spacing w:before="0" w:after="1"/>
              <w:ind w:left="0" w:right="0" w:hanging="0"/>
              <w:jc w:val="left"/>
              <w:rPr/>
            </w:pPr>
            <w:r>
              <w:rPr/>
              <w:t>​</w:t>
            </w:r>
          </w:p>
        </w:tc>
      </w:tr>
      <w:tr>
        <w:trPr/>
        <w:tc>
          <w:tcPr>
            <w:tcW w:w="58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as a percentage of 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9" w:type="dxa"/>
            <w:tcBorders/>
            <w:shd w:fill="CCEEFF" w:val="clear"/>
            <w:vAlign w:val="center"/>
          </w:tcPr>
          <w:p>
            <w:pPr>
              <w:pStyle w:val="TableContents"/>
              <w:bidi w:val="0"/>
              <w:spacing w:before="0" w:after="1"/>
              <w:ind w:left="0" w:right="0" w:hanging="0"/>
              <w:jc w:val="left"/>
              <w:rPr/>
            </w:pPr>
            <w:r>
              <w:rPr/>
              <w:t>​</w:t>
            </w:r>
          </w:p>
        </w:tc>
      </w:tr>
      <w:tr>
        <w:trPr/>
        <w:tc>
          <w:tcPr>
            <w:tcW w:w="58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 provided by operations (in millions)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717.0</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883.6</w:t>
            </w:r>
          </w:p>
        </w:tc>
        <w:tc>
          <w:tcPr>
            <w:tcW w:w="271" w:type="dxa"/>
            <w:tcBorders/>
            <w:vAlign w:val="center"/>
          </w:tcPr>
          <w:p>
            <w:pPr>
              <w:pStyle w:val="TableContents"/>
              <w:bidi w:val="0"/>
              <w:spacing w:before="0" w:after="1"/>
              <w:ind w:left="0" w:right="0" w:hanging="0"/>
              <w:jc w:val="left"/>
              <w:rPr/>
            </w:pPr>
            <w:r>
              <w:rPr/>
              <w:t>​</w:t>
            </w:r>
          </w:p>
        </w:tc>
        <w:tc>
          <w:tcPr>
            <w:tcW w:w="359" w:type="dxa"/>
            <w:tcBorders/>
            <w:vAlign w:val="center"/>
          </w:tcPr>
          <w:p>
            <w:pPr>
              <w:pStyle w:val="TableContents"/>
              <w:bidi w:val="0"/>
              <w:spacing w:before="0" w:after="1"/>
              <w:ind w:left="0" w:right="0" w:hanging="0"/>
              <w:jc w:val="left"/>
              <w:rPr/>
            </w:pPr>
            <w:r>
              <w:rPr/>
              <w:t>​</w:t>
            </w:r>
          </w:p>
        </w:tc>
      </w:tr>
      <w:tr>
        <w:trPr/>
        <w:tc>
          <w:tcPr>
            <w:tcW w:w="58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retail store count at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271" w:type="dxa"/>
            <w:tcBorders/>
            <w:shd w:fill="CCEEFF" w:val="clear"/>
            <w:vAlign w:val="center"/>
          </w:tcPr>
          <w:p>
            <w:pPr>
              <w:pStyle w:val="TableContents"/>
              <w:bidi w:val="0"/>
              <w:spacing w:before="0" w:after="1"/>
              <w:ind w:left="0" w:right="0" w:hanging="0"/>
              <w:jc w:val="left"/>
              <w:rPr/>
            </w:pPr>
            <w:r>
              <w:rPr/>
              <w:t>​</w:t>
            </w:r>
          </w:p>
        </w:tc>
        <w:tc>
          <w:tcPr>
            <w:tcW w:w="359" w:type="dxa"/>
            <w:tcBorders/>
            <w:shd w:fill="CCEEFF" w:val="clear"/>
            <w:vAlign w:val="center"/>
          </w:tcPr>
          <w:p>
            <w:pPr>
              <w:pStyle w:val="TableContents"/>
              <w:bidi w:val="0"/>
              <w:spacing w:before="0" w:after="1"/>
              <w:ind w:left="0" w:right="0" w:hanging="0"/>
              <w:jc w:val="left"/>
              <w:rPr/>
            </w:pPr>
            <w:r>
              <w:rPr/>
              <w:t>​</w:t>
            </w:r>
          </w:p>
        </w:tc>
      </w:tr>
      <w:tr>
        <w:trPr/>
        <w:tc>
          <w:tcPr>
            <w:tcW w:w="58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sales per square foot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271" w:type="dxa"/>
            <w:tcBorders/>
            <w:vAlign w:val="center"/>
          </w:tcPr>
          <w:p>
            <w:pPr>
              <w:pStyle w:val="TableContents"/>
              <w:bidi w:val="0"/>
              <w:spacing w:before="0" w:after="1"/>
              <w:ind w:left="0" w:right="0" w:hanging="0"/>
              <w:jc w:val="left"/>
              <w:rPr/>
            </w:pPr>
            <w:r>
              <w:rPr/>
              <w:t>​</w:t>
            </w:r>
          </w:p>
        </w:tc>
        <w:tc>
          <w:tcPr>
            <w:tcW w:w="359" w:type="dxa"/>
            <w:tcBorders/>
            <w:vAlign w:val="center"/>
          </w:tcPr>
          <w:p>
            <w:pPr>
              <w:pStyle w:val="TableContents"/>
              <w:bidi w:val="0"/>
              <w:spacing w:before="0" w:after="1"/>
              <w:ind w:left="0" w:right="0" w:hanging="0"/>
              <w:jc w:val="left"/>
              <w:rPr/>
            </w:pPr>
            <w:r>
              <w:rPr/>
              <w:t>​</w:t>
            </w:r>
          </w:p>
        </w:tc>
      </w:tr>
      <w:tr>
        <w:trPr/>
        <w:tc>
          <w:tcPr>
            <w:tcW w:w="58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stores sales trend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Comparable retail store sales trend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store inventory trend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9" w:type="dxa"/>
            <w:tcBorders/>
            <w:shd w:fill="CCEEFF" w:val="clear"/>
            <w:vAlign w:val="center"/>
          </w:tcPr>
          <w:p>
            <w:pPr>
              <w:pStyle w:val="TableContents"/>
              <w:bidi w:val="0"/>
              <w:spacing w:before="0" w:after="1"/>
              <w:ind w:left="0" w:right="0" w:hanging="0"/>
              <w:jc w:val="left"/>
              <w:rPr/>
            </w:pPr>
            <w:r>
              <w:rPr/>
              <w:t>​</w:t>
            </w:r>
          </w:p>
        </w:tc>
      </w:tr>
      <w:tr>
        <w:trPr/>
        <w:tc>
          <w:tcPr>
            <w:tcW w:w="58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merchandise inventory turnover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271" w:type="dxa"/>
            <w:tcBorders/>
            <w:vAlign w:val="center"/>
          </w:tcPr>
          <w:p>
            <w:pPr>
              <w:pStyle w:val="TableContents"/>
              <w:bidi w:val="0"/>
              <w:spacing w:before="0" w:after="1"/>
              <w:ind w:left="0" w:right="0" w:hanging="0"/>
              <w:jc w:val="right"/>
              <w:rPr/>
            </w:pPr>
            <w:r>
              <w:rPr/>
              <w:t>​</w:t>
            </w:r>
          </w:p>
        </w:tc>
        <w:tc>
          <w:tcPr>
            <w:tcW w:w="359" w:type="dxa"/>
            <w:tcBorders/>
            <w:vAlign w:val="center"/>
          </w:tcPr>
          <w:p>
            <w:pPr>
              <w:pStyle w:val="TableContents"/>
              <w:bidi w:val="0"/>
              <w:spacing w:before="0" w:after="1"/>
              <w:ind w:left="0" w:right="0" w:hanging="0"/>
              <w:jc w:val="left"/>
              <w:rPr/>
            </w:pPr>
            <w:r>
              <w:rPr/>
              <w:t>​</w:t>
            </w:r>
          </w:p>
        </w:tc>
      </w:tr>
    </w:tbl>
    <w:tbl>
      <w:tblPr>
        <w:tblW w:w="7847" w:type="dxa"/>
        <w:jc w:val="left"/>
        <w:tblInd w:w="0" w:type="dxa"/>
        <w:tblLayout w:type="fixed"/>
        <w:tblCellMar>
          <w:top w:w="0" w:type="dxa"/>
          <w:left w:w="0" w:type="dxa"/>
          <w:bottom w:w="0" w:type="dxa"/>
          <w:right w:w="0" w:type="dxa"/>
        </w:tblCellMar>
      </w:tblPr>
      <w:tblGrid>
        <w:gridCol w:w="226"/>
        <w:gridCol w:w="76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upon the 52 weeks ended February 1, 2025 and the 52 weeks ended February 3, 2024.</w:t>
            </w:r>
          </w:p>
        </w:tc>
      </w:tr>
    </w:tbl>
    <w:tbl>
      <w:tblPr>
        <w:tblW w:w="7982" w:type="dxa"/>
        <w:jc w:val="left"/>
        <w:tblInd w:w="0" w:type="dxa"/>
        <w:tblLayout w:type="fixed"/>
        <w:tblCellMar>
          <w:top w:w="0" w:type="dxa"/>
          <w:left w:w="0" w:type="dxa"/>
          <w:bottom w:w="0" w:type="dxa"/>
          <w:right w:w="0" w:type="dxa"/>
        </w:tblCellMar>
      </w:tblPr>
      <w:tblGrid>
        <w:gridCol w:w="331"/>
        <w:gridCol w:w="7651"/>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76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upon the 52 weeks ended January 27, 2024 and the 52 weeks ended January 28, 2023.</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Trends and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Fluctuations in the following key trends and uncertainties may have a material effect on our operating results.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flow—Cash from operating activities is a primary source of our liquidity that is adversely affected when the retail industry faces economic challenges. Furthermore, operating cash flow can be negatively affected by competitive factors.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Pricing—If our customers do not purchase our merchandise offerings in sufficient quantities, we respond by taking markdowns. If we have to reduce our retail selling prices, the gross margin on our consolidated statement of operations will correspondingly decrease, thus reducing our net income and cash flow.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of brand—The success of our exclusive brand merchandise as well as merchandise we source from national vendors is dependent upon customer fashion preferences and how well we can predict and anticipate trends.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Sourcing—Our store merchandise selection is dependent upon our ability to acquire appealing products from a number of sources. Our ability to attract and retain compelling vendors as well as in-house design talent, the adequacy and stable availability of materials and production facilities from which we source our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merchandise and the speed at which we can respond to customer trends and preferences all have a significant impact on our merchandise mix and, thus, our ability to sell merchandise at profitable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 growth—Our ability to open new stores is dependent upon a number of factors, such as the identification of suitable markets and locations and the availability of shopping developments, especially in a weak economic environment. Store growth can be further hindered by mall attrition and subsequent closure of underperforming properties.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present, a number of economic and geopolitical factors are affecting the U.S. and world economies (including countries from which we source some of our merchandise): war and other armed conflicts (including the ongoing conflict with Iran and/or Iranian sponsored actors, other conflicts in the Middle East and the ongoing conflict in Ukraine and the resulting sanctions imposed on Russia by the U.S. and other countries), fluctuating energy prices, trade restrictions (including tariffs), inflation and the continuing impact of elevated United States wages. The extent to which our business will be affected by these factors depends on our customer’s continuing ability and willingness to accept price increases. Accordingly, the related financial impact to fiscal 2026 from these factors cannot be reasonably estimated at this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 and Inflation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like many other retailers, is subject to seasonal influences, with a significant portion of sales and income typically realized during the last quarter of our fiscal year due to the holiday season. Because of the seasonality of our business, results from any quarter are not necessarily indicative of the results that may be achieved for a full fiscal 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was affected by inflation during fiscal 2025 and 2024. Our business will likely be affected by inflation in fiscal 2026, the extent of which depends on our customers’ continuing ability and willingness to accept price increases.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Net sales</w:t>
      </w:r>
      <w:r>
        <w:rPr>
          <w:rFonts w:ascii="Times New Roman;Times;serif" w:hAnsi="Times New Roman;Times;serif"/>
          <w:sz w:val="20"/>
        </w:rPr>
        <w:t>. Net sales includes merchandise sales of comparable and non-comparable stores and revenue recognized on contracts of CDI, the Company’s general contracting construction company. Comparable store sales includes sales for those stores which were in operation for a full period in both the most recently completed quarter and the corresponding quarter for the prior fiscal year, including our internet store. Comparable store sales excludes changes in the allowance for sales returns. Non-comparable store sales includes: sales in the current fiscal year from stores opened during the previous fiscal year before they are considered comparable stores; sales from new stores opened during the current fiscal year; sales in the previous fiscal year for stores closed during the current or previous fiscal year that are no longer considered comparable stores; sales in clearance centers; and changes in the allowance for sales returns.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Sales occur as a result of interaction with customers across multiple points of contact, creating an interdependence between in-store and online sales. Online orders are fulfilled from both fulfillment centers and retail stores. Additionally, online customers have the ability to buy online and pick up in-store. Retail in-store customers have the ability to purchase items that may be ordered and fulfilled from either a fulfillment center or another retail store location. Online customers may return orders via mail, or customers may return orders placed online to retail store locations. Customers who earn reward points under the private label credit card program may earn and redeem rewards through in-store or online purchases.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Service charges and other income</w:t>
      </w:r>
      <w:r>
        <w:rPr>
          <w:rFonts w:ascii="Times New Roman;Times;serif" w:hAnsi="Times New Roman;Times;serif"/>
          <w:sz w:val="20"/>
        </w:rPr>
        <w:t>. Service charges and other income includes income generated through the Company’s private label credit card portfolio alliances. These alliances include the former marketing and servicing alliance with Wells Fargo Bank, N.A. (“Wells Fargo Alliance”), which terminated in September 2024, and the Company’s new long-term marketing and servicing alliance with Citibank, N.A (“Citibank Alliance”), which replaced the Wells Fargo Alliance upon its termination. Other income includes rental income, shipping and handling fees and gift card breakage.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Cost of sales</w:t>
      </w:r>
      <w:r>
        <w:rPr>
          <w:rFonts w:ascii="Times New Roman;Times;serif" w:hAnsi="Times New Roman;Times;serif"/>
          <w:sz w:val="20"/>
        </w:rPr>
        <w:t>. Cost of sales includes the cost of merchandise sold (net of purchase discounts, non-specific margin maintenance allowances and merchandise margin maintenance allowances), bankcard fees, freight to the distribution centers, employee and promotional discounts, shipping to customers and direct payroll for salon personnel. Cost of sales also includes CDI contract costs, which comprise all direct material and labor costs, subcontract costs and those indirect costs related to contract performance, such as indirect labor, employee benefits and insurance program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Selling, general and administrative expenses</w:t>
      </w:r>
      <w:r>
        <w:rPr>
          <w:rFonts w:ascii="Times New Roman;Times;serif" w:hAnsi="Times New Roman;Times;serif"/>
          <w:sz w:val="20"/>
        </w:rPr>
        <w:t>. Selling, general and administrative expenses include buying, occupancy, selling, distribution, warehousing, store and corporate expenses (including payroll and employee benefits), insurance, employment taxes, advertising, management information systems, legal and other corporate level expenses. Buying expenses consist of payroll, employee benefits and travel for design, buying and merchandising personnel.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Depreciation and amortization</w:t>
      </w:r>
      <w:r>
        <w:rPr>
          <w:rFonts w:ascii="Times New Roman;Times;serif" w:hAnsi="Times New Roman;Times;serif"/>
          <w:sz w:val="20"/>
        </w:rPr>
        <w:t>. Depreciation and amortization expenses include depreciation and amortization on property and equipment.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Rentals</w:t>
      </w:r>
      <w:r>
        <w:rPr>
          <w:rFonts w:ascii="Times New Roman;Times;serif" w:hAnsi="Times New Roman;Times;serif"/>
          <w:sz w:val="20"/>
        </w:rPr>
        <w:t>. Rentals includes expenses for store leases, including contingent rent, data processing and other equipment rentals and office space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Interest and debt (income) expense, net</w:t>
      </w:r>
      <w:r>
        <w:rPr>
          <w:rFonts w:ascii="Times New Roman;Times;serif" w:hAnsi="Times New Roman;Times;serif"/>
          <w:sz w:val="20"/>
        </w:rPr>
        <w:t>. Interest and debt (income) expense, net includes interest, net of interest income from demand deposits and short-term investments and capitalized interest, relating to the Company’s unsecured notes, subordinated debentures and commitment fees and borrowings, if any, under the Company’s credit agreement. Interest and debt expense also includes the amortization of financing costs and interest on finance lease obligations, if 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Other expense</w:t>
      </w:r>
      <w:r>
        <w:rPr>
          <w:rFonts w:ascii="Times New Roman;Times;serif" w:hAnsi="Times New Roman;Times;serif"/>
          <w:sz w:val="20"/>
        </w:rPr>
        <w:t>. Other expense includes the interest cost and net actuarial loss components of net periodic benefit costs related to the Company’s unfunded, nonqualified defined benefit plan and charges related to the write off of certain deferred financing fees in connection with the amendment and extension of the Company’s secured revolving credit facility, if 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Gain on disposal of assets</w:t>
      </w:r>
      <w:r>
        <w:rPr>
          <w:rFonts w:ascii="Times New Roman;Times;serif" w:hAnsi="Times New Roman;Times;serif"/>
          <w:sz w:val="20"/>
        </w:rPr>
        <w:t>. Gain on disposal of assets includes the net gain or loss on the sale or disposal of property and equipment, as well as gains from insurance proceeds in excess of the cost basis of insured assets, if 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significant accounting policies are also described in Note 1 in the “Notes to Consolidated Financial Statements” in Item 8 hereof. As disclosed in that note, the preparation of financial statements in conformity with accounting principles generally accepted in the United States of America (“GAAP”) requires management to make estimates and assumptions about future events that affect the amounts reported in the consolidated financial statements and accompanying notes. The Company evaluates its estimates and judgments on an ongoing basis and predicates those estimates and judgments on historical experience and on various other factors that are believed to be reasonable under the circumstances. Since future events and their effects cannot be determined with absolute certainty, actual results could differ from those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of the Company believes the following critical accounting policies, among others, affect its more significant judgments and estimates used in preparation of the Company’s consolidated financial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Merchandise inventory</w:t>
      </w:r>
      <w:r>
        <w:rPr>
          <w:rFonts w:ascii="Times New Roman;Times;serif" w:hAnsi="Times New Roman;Times;serif"/>
          <w:sz w:val="20"/>
        </w:rPr>
        <w:t xml:space="preserve">. All of the Company’s inventories are valued at the lower of cost or market using the last-in, first-out (“LIFO”) inventory method. Approximately 95% of the Company’s inventories are valued using the LIFO retail inventory method. Under the retail inventory method, the valuation of inventories at cost and the resulting gross margins are calculated by applying a cost to retail ratio to the retail value of inventories. The retail inventory method is an averaging method that is widely used in the retail industry due to its practicality. Inherent in the retail inventory method calculation are certain significant management judgments including, among others, merchandise markon, markups and markdowns, which significantly impact the ending inventory valuation at cost as well as the resulting gross margins. During periods of deflation, inventory values on the first-in, first-out (“FIFO”) retail inventory method may be lower than the LIFO retail inventory method. Additionally, inventory values at LIFO cost may be in excess of net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realizable value. At January 31, 2026 and February 1, 2025, merchandise inventories valued at LIFO, including adjustments as necessary to record inventory at the lower of cost or market, approximated the cost of such inventories using the FIFO retail inventory method. The application of the LIFO retail inventory method did not result in the recognition of any LIFO charges or credits affecting cost of sales for fiscal 2025, 2024 or 2023. A 1% change in the dollar amount of markdowns would have impacted net income by approximately $8 million for fiscal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regularly records a provision for estimated shrinkage, thereby reducing the carrying value of merchandise inventory. Complete physical inventories of the Company’s stores and warehouses are generally performed no less frequently than annually, with the recorded amount of merchandise inventory being adjusted to coincide with these physical counts. The differences between the estimated amounts of shrinkage and the actual amounts realized during the past three years have not been material.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Revenue recognition</w:t>
      </w:r>
      <w:r>
        <w:rPr>
          <w:rFonts w:ascii="Times New Roman;Times;serif" w:hAnsi="Times New Roman;Times;serif"/>
          <w:sz w:val="20"/>
        </w:rPr>
        <w:t>. The Company’s retail operations segment recognizes revenue upon the sale of merchandise to its customers, net of anticipated returns of merchandise. The asset and liability for sales returns are based on historical evidence of our return rate. We recorded an allowance for sales returns of $20.1 million and $21.5 million and return assets of $12.1 million and $13.0 million as of January 31, 2026 and February 1, 2025, respectively. The return asset and the allowance for sales returns are recorded in the consolidated balance sheets in other current assets and trade accounts payable and accrued expenses, respectively. Adjustments to earnings resulting from revisions to estimates on our sales return provision were not material for fiscal 2025,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share of income under the Citibank Alliance and the former Wells Fargo Alliance involving the Dillard’s branded private label credit cards is included as a component of service charges and other income. The Company recognized income of $39.6 million, $54.1 million and $67.2 million from the alliances in fiscal 2025, 2024 and 2023, respectively. The Company participates in the marketing of the private label credit cards, which includes the cost of customer reward programs. Through the reward programs, customers earn points that are redeemable for discounts on future purchases. The Company defers a portion of its net sales upon the sale of merchandise to its customer reward program members that is recognized in net sales when the reward is redeemed or expired at a future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Revenues from CDI construction contracts are generally measured based on the ratio of costs incurred to total estimated contract costs (the “cost-to-cost method”). Some of our contracts with customers contain multiple performance obligations. For these contracts, we account for individual performance obligations separately if they are distinct. The transaction price is allocated to the separate performance obligations based on stand-alone selling prices. Construction 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and services that are not distinct from the existing contracts; therefore, the modifications are accounted for as if they were part of the existing contract. The effect of a contract modification on the transaction price and our measure of progress for the performance obligation for which it relates, is recognized as an adjustment to revenue on a cumulative catch-up basis. The length of each contract varies but is typically nine to eighteen months. The progress towards completion is determined by relating the actual costs of work performed to date to the current estimated total costs of the respective contracts. Estimated contract losses are recognized in full when determined.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Construction contracts give rise to accounts receivable, contract assets and contract liabilities. We record accounts receivable based on amounts billed to customers. We also record costs and estimated earnings in excess of billings on uncompleted contracts (contract assets) and billings in excess of costs and estimated earnings on uncompleted contracts (contract liabilities) in other current assets and trade accounts payable and accrued expenses, respectively, on the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Vendor allowances</w:t>
      </w:r>
      <w:r>
        <w:rPr>
          <w:rFonts w:ascii="Times New Roman;Times;serif" w:hAnsi="Times New Roman;Times;serif"/>
          <w:sz w:val="20"/>
        </w:rPr>
        <w:t>. The Company receives concessions from vendors through a variety of programs and arrangements, including cooperative advertising, payroll reimbursements and margin maintenance programs.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Cooperative advertising allowances are reported as a reduction of advertising expense in the period in which the advertising occurred. We are not able to assess the impact of vendor advertising allowances on creating additional revenues, as such allowances do not directly generate revenues for our stores.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Payroll reimbursements are reported as a reduction of payroll expense in the period in which the reimbursement occurred.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Amounts of margin maintenance allowances are recorded only when an agreement has been reached with the vendor and the collection of the concession is deemed probable. All such merchandise margin maintenance allowances are recognized as a reduction of cost purchases. Under the retail inventory method, a portion of these allowances reduces cost of goods sold and a portion reduces the carrying value of merchandise inventory.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Insurance accruals</w:t>
      </w:r>
      <w:r>
        <w:rPr>
          <w:rFonts w:ascii="Times New Roman;Times;serif" w:hAnsi="Times New Roman;Times;serif"/>
          <w:sz w:val="20"/>
        </w:rPr>
        <w:t>. The Company’s consolidated balance sheets include liabilities with respect to claims for self-insured workers’ compensation (with a self-insured retention of $4 million per claim) and general liability (with a self-insured retention of $2 million per claim). The Company’s retentions are insured through a wholly-owned captive insurance subsidiary. The Company estimates the required liability of such claims, utilizing an actuarial method, based upon various assumptions, which include, but are not limited to, our historical loss experience, projected loss development factors, actual payroll and other data. The required liability is also subject to adjustment in the future based upon the changes in claims experience, including changes in the number of incidents (frequency) and changes in the ultimate cost per incident (severity). As of January 31, 2026 and February 1, 2025, insurance accruals of $40.3 million and $40.1 million, respectively, were recorded in trade accounts payable and accrued expenses and other liabilities. A 10% change in our self-insurance reserve would have affected net income by approximately $3 million for fiscal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Long-lived assets</w:t>
      </w:r>
      <w:r>
        <w:rPr>
          <w:rFonts w:ascii="Times New Roman;Times;serif" w:hAnsi="Times New Roman;Times;serif"/>
          <w:sz w:val="20"/>
        </w:rPr>
        <w:t>. The Company’s judgment regarding the existence of impairment indicators is based on market and operational performance. We assess the impairment of long-lived assets, primarily fixed assets and operating lease assets, whenever events or changes in circumstances indicate that the carrying value may not be recoverable. Factors we consider important which could trigger an impairment review include the following:</w:t>
      </w:r>
    </w:p>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in the manner of our use of assets or the strategy for the overall business;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industry or economic trends;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current-period operating or cash flow loss combined with a history of operating or cash flow losses; and</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 closings.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impairment indicators are identified, the Company performs an analysis of the anticipated undiscounted future net cash flows of the related long-lived assets. If the carrying value of the related asset exceeds the fair value, the carrying value is reduced to its fair value. Various factors including future sales growth, profit margins and real estate values are included in this analysis. To the extent these future projections, the Company’s strategies or market conditions change, the conclusion regarding impairment may differ from the current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Income taxes</w:t>
      </w:r>
      <w:r>
        <w:rPr>
          <w:rFonts w:ascii="Times New Roman;Times;serif" w:hAnsi="Times New Roman;Times;serif"/>
          <w:sz w:val="20"/>
        </w:rPr>
        <w:t>. Temporary differences arising from differing treatment of income and expense items for tax and financial reporting purposes result in deferred tax assets and liabilities that are recorded on the balance sheet. These balances, as well as income tax expense, are determined through management’s estimations, interpretation of tax law for multiple jurisdictions and tax planning. If the Company’s actual results differ from estimated results due to changes in tax laws, changes in store locations, settlements of tax audits or tax planning, the Company’s effective tax rate and tax balances could be affected.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such, these estimates may require adjustment in the future as additional information becomes available or as circumstances change. Changes in the Company’s assumptions and judgments can materially affect amounts recognized in the consolidated balance sheets and statements of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total amount of unrecognized tax benefits as of January 31, 2026 was $7.5 million, of which, $6.2 million would, if recognized, affect the Company’s effective tax rate. The total amount of unrecognized tax benefits as of February 1, 2025 was $8.0 million, of which $5.8 million would, if recognized, affect the Company’s effective tax rate. The Company classifies accrued interest expense and penalties relating to income tax in the consolidated financial statements as income tax expense. The total amounts of interest and penalties were not material.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fiscal tax years that remain subject to examination for the federal tax jurisdiction and major state tax jurisdictions are 2022 and forward. At this time, the Company does not expect the results from any income tax audit to have a material impact on the Company’s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Pension obligations</w:t>
      </w:r>
      <w:r>
        <w:rPr>
          <w:rFonts w:ascii="Times New Roman;Times;serif" w:hAnsi="Times New Roman;Times;serif"/>
          <w:sz w:val="20"/>
        </w:rPr>
        <w:t>.  The discount rate that the Company utilizes for determining future pension obligations is based on the FTSE Above Median Pension yield curve on its annual measurement date as of the end of each fiscal year and is matched to the future expected cash flows of the benefit plans by semi-annual periods. The discount rate decreased to 5.4% as of January 31, 2026 from 5.6% as of February 1, 2025. We believe that these assumptions have been appropriate and that, based on these assumptions, the pension liability of $314.0 million is appropriately stated as of January 31, 2026; however, actual results may differ materially from those estimated and could have a material impact on our consolidated financial statements. A 50 basis point change in the discount rate would increase or decrease the pension liability by approximately $16 million. The Company expects to make a contribution to the pension plan of approximately $8.5 million in fiscal 2026. The Company expects pension expense to be approximately $26.1 million in fiscal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results of operations and percentage of net sales, for the periods indicated (percentages may not foot due to rounding):</w:t>
      </w:r>
    </w:p>
    <w:tbl>
      <w:tblPr>
        <w:tblW w:w="10205" w:type="dxa"/>
        <w:jc w:val="left"/>
        <w:tblInd w:w="0" w:type="dxa"/>
        <w:tblLayout w:type="fixed"/>
        <w:tblCellMar>
          <w:top w:w="0" w:type="dxa"/>
          <w:left w:w="0" w:type="dxa"/>
          <w:bottom w:w="0" w:type="dxa"/>
          <w:right w:w="0" w:type="dxa"/>
        </w:tblCellMar>
      </w:tblPr>
      <w:tblGrid>
        <w:gridCol w:w="2247"/>
        <w:gridCol w:w="346"/>
        <w:gridCol w:w="211"/>
        <w:gridCol w:w="931"/>
        <w:gridCol w:w="346"/>
        <w:gridCol w:w="703"/>
        <w:gridCol w:w="361"/>
        <w:gridCol w:w="211"/>
        <w:gridCol w:w="931"/>
        <w:gridCol w:w="346"/>
        <w:gridCol w:w="703"/>
        <w:gridCol w:w="361"/>
        <w:gridCol w:w="211"/>
        <w:gridCol w:w="931"/>
        <w:gridCol w:w="346"/>
        <w:gridCol w:w="703"/>
        <w:gridCol w:w="317"/>
      </w:tblGrid>
      <w:tr>
        <w:trPr/>
        <w:tc>
          <w:tcPr>
            <w:tcW w:w="22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87" name="Frame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46405" cy="175260"/>
                      <wp:effectExtent l="0" t="0" r="0" b="0"/>
                      <wp:wrapNone/>
                      <wp:docPr id="89" name="Frame8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29235" cy="175260"/>
                      <wp:effectExtent l="0" t="0" r="0" b="0"/>
                      <wp:wrapNone/>
                      <wp:docPr id="90" name="Frame8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91185" cy="175260"/>
                      <wp:effectExtent l="0" t="0" r="0" b="0"/>
                      <wp:wrapNone/>
                      <wp:docPr id="92" name="Frame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46405" cy="175260"/>
                      <wp:effectExtent l="0" t="0" r="0" b="0"/>
                      <wp:wrapNone/>
                      <wp:docPr id="94" name="Frame93"/>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29235" cy="175260"/>
                      <wp:effectExtent l="0" t="0" r="0" b="0"/>
                      <wp:wrapNone/>
                      <wp:docPr id="95" name="Frame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91185" cy="175260"/>
                      <wp:effectExtent l="0" t="0" r="0" b="0"/>
                      <wp:wrapNone/>
                      <wp:docPr id="97" name="Frame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46405" cy="175260"/>
                      <wp:effectExtent l="0" t="0" r="0" b="0"/>
                      <wp:wrapNone/>
                      <wp:docPr id="99" name="Frame9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1295" cy="175260"/>
                      <wp:effectExtent l="0" t="0" r="0" b="0"/>
                      <wp:wrapNone/>
                      <wp:docPr id="100" name="Frame9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8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17" w:type="dxa"/>
            <w:tcBorders/>
            <w:vAlign w:val="center"/>
          </w:tcPr>
          <w:p>
            <w:pPr>
              <w:pStyle w:val="TableContents"/>
              <w:bidi w:val="0"/>
              <w:spacing w:before="0" w:after="0"/>
              <w:ind w:left="0" w:right="0" w:hanging="0"/>
              <w:jc w:val="left"/>
              <w:rPr/>
            </w:pPr>
            <w:r>
              <w:rPr/>
              <w:t>​</w:t>
            </w:r>
          </w:p>
        </w:tc>
      </w:tr>
      <w:tr>
        <w:trPr/>
        <w:tc>
          <w:tcPr>
            <w:tcW w:w="22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361" w:type="dxa"/>
            <w:tcBorders/>
            <w:vAlign w:val="center"/>
          </w:tcPr>
          <w:p>
            <w:pPr>
              <w:pStyle w:val="TableContents"/>
              <w:bidi w:val="0"/>
              <w:spacing w:before="0" w:after="0"/>
              <w:ind w:left="0" w:right="0" w:hanging="0"/>
              <w:jc w:val="left"/>
              <w:rPr/>
            </w:pPr>
            <w:r>
              <w:rPr/>
              <w:t>​</w:t>
            </w:r>
          </w:p>
        </w:tc>
        <w:tc>
          <w:tcPr>
            <w:tcW w:w="219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 2025</w:t>
            </w:r>
          </w:p>
        </w:tc>
        <w:tc>
          <w:tcPr>
            <w:tcW w:w="361" w:type="dxa"/>
            <w:tcBorders/>
            <w:vAlign w:val="center"/>
          </w:tcPr>
          <w:p>
            <w:pPr>
              <w:pStyle w:val="TableContents"/>
              <w:bidi w:val="0"/>
              <w:spacing w:before="0" w:after="0"/>
              <w:ind w:left="0" w:right="0" w:hanging="0"/>
              <w:jc w:val="left"/>
              <w:rPr/>
            </w:pPr>
            <w:r>
              <w:rPr/>
              <w:t>​</w:t>
            </w:r>
          </w:p>
        </w:tc>
        <w:tc>
          <w:tcPr>
            <w:tcW w:w="219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3, 2024</w:t>
            </w:r>
          </w:p>
        </w:tc>
        <w:tc>
          <w:tcPr>
            <w:tcW w:w="317" w:type="dxa"/>
            <w:tcBorders/>
            <w:vAlign w:val="center"/>
          </w:tcPr>
          <w:p>
            <w:pPr>
              <w:pStyle w:val="TableContents"/>
              <w:bidi w:val="0"/>
              <w:spacing w:before="0" w:after="0"/>
              <w:ind w:left="0" w:right="0" w:hanging="0"/>
              <w:jc w:val="left"/>
              <w:rPr/>
            </w:pPr>
            <w:r>
              <w:rPr/>
              <w:t>​</w:t>
            </w:r>
          </w:p>
        </w:tc>
      </w:tr>
      <w:tr>
        <w:trPr/>
        <w:tc>
          <w:tcPr>
            <w:tcW w:w="22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 Sales</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 Sales</w:t>
            </w:r>
          </w:p>
        </w:tc>
        <w:tc>
          <w:tcPr>
            <w:tcW w:w="361"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 Sales</w:t>
            </w:r>
          </w:p>
        </w:tc>
        <w:tc>
          <w:tcPr>
            <w:tcW w:w="317" w:type="dxa"/>
            <w:tcBorders/>
            <w:vAlign w:val="center"/>
          </w:tcPr>
          <w:p>
            <w:pPr>
              <w:pStyle w:val="TableContents"/>
              <w:bidi w:val="0"/>
              <w:spacing w:before="0" w:after="0"/>
              <w:ind w:left="0" w:right="0" w:hanging="0"/>
              <w:jc w:val="left"/>
              <w:rPr/>
            </w:pPr>
            <w:r>
              <w:rPr/>
              <w:t>​</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6,473,623</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6,482,636</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6,752,053</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and other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89,713</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107,595</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122,367</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7" w:type="dxa"/>
            <w:tcBorders/>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22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6,563,336</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6,590,231</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6,874,420</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17" w:type="dxa"/>
            <w:tcBorders/>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2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3,916,862</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3,919,549</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4,031,108</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17" w:type="dxa"/>
            <w:tcBorders/>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1,759,236</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1,731,234</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1,717,415</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1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179,341</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177,867</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179,573</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7" w:type="dxa"/>
            <w:tcBorders/>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19,223</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21,419</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21,569</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debt (income) expense, net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(13,695)</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7" w:type="dxa"/>
            <w:tcBorders/>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20,797</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24,631</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18,791</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disposal of assets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(20,373)</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(6,053)</w:t>
            </w:r>
          </w:p>
        </w:tc>
        <w:tc>
          <w:tcPr>
            <w:tcW w:w="346" w:type="dxa"/>
            <w:tcBorders/>
            <w:vAlign w:val="center"/>
          </w:tcPr>
          <w:p>
            <w:pPr>
              <w:pStyle w:val="TableContents"/>
              <w:bidi w:val="0"/>
              <w:spacing w:before="0" w:after="0"/>
              <w:ind w:left="0" w:right="0" w:hanging="0"/>
              <w:jc w:val="lef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7" w:type="dxa"/>
            <w:tcBorders/>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2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 and equity in earnings of joint ventures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694,480</w:t>
            </w:r>
          </w:p>
        </w:tc>
        <w:tc>
          <w:tcPr>
            <w:tcW w:w="34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729,701</w:t>
            </w:r>
          </w:p>
        </w:tc>
        <w:tc>
          <w:tcPr>
            <w:tcW w:w="34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916,617</w:t>
            </w:r>
          </w:p>
        </w:tc>
        <w:tc>
          <w:tcPr>
            <w:tcW w:w="34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17" w:type="dxa"/>
            <w:tcBorders/>
            <w:vAlign w:val="center"/>
          </w:tcPr>
          <w:p>
            <w:pPr>
              <w:pStyle w:val="TableContents"/>
              <w:bidi w:val="0"/>
              <w:spacing w:before="0" w:after="0"/>
              <w:ind w:left="0" w:right="0" w:hanging="0"/>
              <w:jc w:val="left"/>
              <w:rPr/>
            </w:pPr>
            <w:r>
              <w:rPr/>
              <w:t>​</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124,700</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136,225</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177,770</w:t>
            </w:r>
          </w:p>
        </w:tc>
        <w:tc>
          <w:tcPr>
            <w:tcW w:w="346"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of joint ventures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22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2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570,187</w:t>
            </w:r>
          </w:p>
        </w:tc>
        <w:tc>
          <w:tcPr>
            <w:tcW w:w="34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593,476</w:t>
            </w:r>
          </w:p>
        </w:tc>
        <w:tc>
          <w:tcPr>
            <w:tcW w:w="34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738,847</w:t>
            </w:r>
          </w:p>
        </w:tc>
        <w:tc>
          <w:tcPr>
            <w:tcW w:w="34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w:t>
      </w:r>
    </w:p>
    <w:tbl>
      <w:tblPr>
        <w:tblW w:w="6805" w:type="dxa"/>
        <w:jc w:val="left"/>
        <w:tblInd w:w="0" w:type="dxa"/>
        <w:tblLayout w:type="fixed"/>
        <w:tblCellMar>
          <w:top w:w="0" w:type="dxa"/>
          <w:left w:w="0" w:type="dxa"/>
          <w:bottom w:w="0" w:type="dxa"/>
          <w:right w:w="0" w:type="dxa"/>
        </w:tblCellMar>
      </w:tblPr>
      <w:tblGrid>
        <w:gridCol w:w="2236"/>
        <w:gridCol w:w="346"/>
        <w:gridCol w:w="211"/>
        <w:gridCol w:w="931"/>
        <w:gridCol w:w="346"/>
        <w:gridCol w:w="211"/>
        <w:gridCol w:w="931"/>
        <w:gridCol w:w="346"/>
        <w:gridCol w:w="211"/>
        <w:gridCol w:w="1036"/>
      </w:tblGrid>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91185" cy="175260"/>
                      <wp:effectExtent l="0" t="0" r="0" b="0"/>
                      <wp:wrapNone/>
                      <wp:docPr id="103" name="Frame1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6" name="Frame1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57860" cy="175260"/>
                      <wp:effectExtent l="0" t="0" r="0" b="0"/>
                      <wp:wrapNone/>
                      <wp:docPr id="109" name="Frame10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sales: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6,231,533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6,218,525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6,479,580</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272,473</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6,473,623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6,752,053</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percent change by segment and product category in the Company’s sales for the past two years is as follows:</w:t>
      </w:r>
    </w:p>
    <w:tbl>
      <w:tblPr>
        <w:tblW w:w="8483" w:type="dxa"/>
        <w:jc w:val="left"/>
        <w:tblInd w:w="0" w:type="dxa"/>
        <w:tblLayout w:type="fixed"/>
        <w:tblCellMar>
          <w:top w:w="0" w:type="dxa"/>
          <w:left w:w="0" w:type="dxa"/>
          <w:bottom w:w="0" w:type="dxa"/>
          <w:right w:w="0" w:type="dxa"/>
        </w:tblCellMar>
      </w:tblPr>
      <w:tblGrid>
        <w:gridCol w:w="2686"/>
        <w:gridCol w:w="346"/>
        <w:gridCol w:w="1441"/>
        <w:gridCol w:w="361"/>
        <w:gridCol w:w="1441"/>
        <w:gridCol w:w="361"/>
        <w:gridCol w:w="1531"/>
        <w:gridCol w:w="31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05610" cy="175260"/>
                      <wp:effectExtent l="0" t="0" r="0" b="0"/>
                      <wp:wrapNone/>
                      <wp:docPr id="110" name="Frame109"/>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15035" cy="175260"/>
                      <wp:effectExtent l="0" t="0" r="0" b="0"/>
                      <wp:wrapNone/>
                      <wp:docPr id="112" name="Frame111"/>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29235" cy="175260"/>
                      <wp:effectExtent l="0" t="0" r="0" b="0"/>
                      <wp:wrapNone/>
                      <wp:docPr id="113" name="Frame1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15035" cy="175260"/>
                      <wp:effectExtent l="0" t="0" r="0" b="0"/>
                      <wp:wrapNone/>
                      <wp:docPr id="114" name="Frame11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29235" cy="175260"/>
                      <wp:effectExtent l="0" t="0" r="0" b="0"/>
                      <wp:wrapNone/>
                      <wp:docPr id="115" name="Frame1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72185" cy="175260"/>
                      <wp:effectExtent l="0" t="0" r="0" b="0"/>
                      <wp:wrapNone/>
                      <wp:docPr id="116" name="Frame115"/>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0660" cy="175260"/>
                      <wp:effectExtent l="0" t="0" r="0" b="0"/>
                      <wp:wrapNone/>
                      <wp:docPr id="117" name="Frame1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1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Change</w:t>
            </w:r>
          </w:p>
        </w:tc>
        <w:tc>
          <w:tcPr>
            <w:tcW w:w="316"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2025 - 2024</w:t>
            </w:r>
          </w:p>
        </w:tc>
        <w:tc>
          <w:tcPr>
            <w:tcW w:w="361" w:type="dxa"/>
            <w:tcBorders/>
            <w:vAlign w:val="center"/>
          </w:tcPr>
          <w:p>
            <w:pPr>
              <w:pStyle w:val="TableContents"/>
              <w:bidi w:val="0"/>
              <w:spacing w:before="0" w:after="0"/>
              <w:ind w:left="0" w:right="0" w:hanging="0"/>
              <w:jc w:val="center"/>
              <w:rPr/>
            </w:pPr>
            <w:r>
              <w:rPr/>
              <w:t>​</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2024 - 2023</w:t>
            </w:r>
          </w:p>
        </w:tc>
        <w:tc>
          <w:tcPr>
            <w:tcW w:w="361" w:type="dxa"/>
            <w:tcBorders/>
            <w:vAlign w:val="center"/>
          </w:tcPr>
          <w:p>
            <w:pPr>
              <w:pStyle w:val="TableContents"/>
              <w:bidi w:val="0"/>
              <w:spacing w:before="0" w:after="0"/>
              <w:ind w:left="0" w:right="0" w:hanging="0"/>
              <w:jc w:val="center"/>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2024 - 2023*</w:t>
            </w:r>
          </w:p>
        </w:tc>
        <w:tc>
          <w:tcPr>
            <w:tcW w:w="316" w:type="dxa"/>
            <w:tcBorders/>
            <w:vAlign w:val="center"/>
          </w:tcPr>
          <w:p>
            <w:pPr>
              <w:pStyle w:val="TableContents"/>
              <w:bidi w:val="0"/>
              <w:spacing w:before="0" w:after="0"/>
              <w:ind w:left="0" w:right="0" w:hanging="0"/>
              <w:jc w:val="center"/>
              <w:rPr/>
            </w:pPr>
            <w:r>
              <w:rPr/>
              <w:t> </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144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pPr>
            <w:r>
              <w:rPr/>
              <w:t>​</w:t>
            </w:r>
          </w:p>
        </w:tc>
        <w:tc>
          <w:tcPr>
            <w:tcW w:w="153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Cosmetics</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apparel</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0"/>
              <w:ind w:left="0" w:right="0" w:hanging="0"/>
              <w:jc w:val="righ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bidi w:val="0"/>
              <w:spacing w:before="0" w:after="0"/>
              <w:ind w:left="0" w:right="0" w:hanging="0"/>
              <w:jc w:val="righ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accessories and lingerie</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righ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Juniors’ and children’s apparel</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bidi w:val="0"/>
              <w:spacing w:before="0" w:after="0"/>
              <w:ind w:left="0" w:right="0" w:hanging="0"/>
              <w:jc w:val="righ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shd w:fill="CCEEFF" w:val="clear"/>
            <w:vAlign w:val="center"/>
          </w:tcPr>
          <w:p>
            <w:pPr>
              <w:pStyle w:val="TableContents"/>
              <w:bidi w:val="0"/>
              <w:spacing w:before="0" w:after="0"/>
              <w:ind w:left="0" w:right="0" w:hanging="0"/>
              <w:jc w:val="righ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Men’s apparel and accessories</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vAlign w:val="center"/>
          </w:tcPr>
          <w:p>
            <w:pPr>
              <w:pStyle w:val="TableContents"/>
              <w:bidi w:val="0"/>
              <w:spacing w:before="0" w:after="0"/>
              <w:ind w:left="0" w:right="0" w:hanging="0"/>
              <w:jc w:val="righ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16"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Shoes</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righ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shd w:fill="CCEEFF" w:val="clear"/>
            <w:vAlign w:val="center"/>
          </w:tcPr>
          <w:p>
            <w:pPr>
              <w:pStyle w:val="TableContents"/>
              <w:bidi w:val="0"/>
              <w:spacing w:before="0" w:after="0"/>
              <w:ind w:left="0" w:right="0" w:hanging="0"/>
              <w:jc w:val="righ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and furniture</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righ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153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61" w:type="dxa"/>
            <w:tcBorders/>
            <w:vAlign w:val="center"/>
          </w:tcPr>
          <w:p>
            <w:pPr>
              <w:pStyle w:val="TableContents"/>
              <w:bidi w:val="0"/>
              <w:spacing w:before="0" w:after="0"/>
              <w:ind w:left="0" w:right="0" w:hanging="0"/>
              <w:jc w:val="righ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vAlign w:val="center"/>
          </w:tcPr>
          <w:p>
            <w:pPr>
              <w:pStyle w:val="TableContents"/>
              <w:bidi w:val="0"/>
              <w:spacing w:before="0" w:after="0"/>
              <w:ind w:left="0" w:right="0" w:hanging="0"/>
              <w:jc w:val="righ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vAlign w:val="center"/>
          </w:tcPr>
          <w:p>
            <w:pPr>
              <w:pStyle w:val="TableContents"/>
              <w:bidi w:val="0"/>
              <w:spacing w:before="0" w:after="0"/>
              <w:ind w:left="0" w:right="0" w:hanging="0"/>
              <w:jc w:val="left"/>
              <w:rPr/>
            </w:pPr>
            <w:r>
              <w:rPr/>
              <w:t>​</w:t>
            </w:r>
          </w:p>
        </w:tc>
      </w:tr>
    </w:tbl>
    <w:tbl>
      <w:tblPr>
        <w:tblW w:w="7547" w:type="dxa"/>
        <w:jc w:val="left"/>
        <w:tblInd w:w="0" w:type="dxa"/>
        <w:tblLayout w:type="fixed"/>
        <w:tblCellMar>
          <w:top w:w="0" w:type="dxa"/>
          <w:left w:w="0" w:type="dxa"/>
          <w:bottom w:w="0" w:type="dxa"/>
          <w:right w:w="0" w:type="dxa"/>
        </w:tblCellMar>
      </w:tblPr>
      <w:tblGrid>
        <w:gridCol w:w="226"/>
        <w:gridCol w:w="7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upon the 52 weeks ended February 1, 2025 and 52 weeks ended February 3, 2024.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2025 Compared to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from the retail operations segment increased $13.0 million during fiscal 2025 compared to fiscal 2024, remaining flat as a percentage in total store sales. Sales in comparable stores remained flat for fiscal 2025 compared to fiscal 2024. During the same periods, sales of ladies’ accessories and lingerie and juniors’ and children’s apparel increased moderately. Sales of cosmetics decreased slightly, while sales of home and furniture decreased moderately. Sales were essentially unchanged in all other product categories.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number of sales transactions during fiscal 2025 decreased 4% over fiscal 2024, while the average dollars per sales transaction increased 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from the construction segment decreased $22.0 million or 8.3% during fiscal 2025 compared to fiscal 2024 due to a decrease in construction activity. The remaining performance obligations related to executed construction contracts totaled $140.8 million at January 31, 2026, decreasing approximately 31% from February 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Exclusive Brand Merchandise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Sales penetration of exclusive brand merchandise for fiscal 2025, 2024 and 2023 was 22.3%, 22.7% and 23.5% of total net sales, respectively.</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Charges and Other Income</w:t>
      </w:r>
    </w:p>
    <w:tbl>
      <w:tblPr>
        <w:tblW w:w="9698" w:type="dxa"/>
        <w:jc w:val="left"/>
        <w:tblInd w:w="0" w:type="dxa"/>
        <w:tblLayout w:type="fixed"/>
        <w:tblCellMar>
          <w:top w:w="0" w:type="dxa"/>
          <w:left w:w="0" w:type="dxa"/>
          <w:bottom w:w="0" w:type="dxa"/>
          <w:right w:w="0" w:type="dxa"/>
        </w:tblCellMar>
      </w:tblPr>
      <w:tblGrid>
        <w:gridCol w:w="5611"/>
        <w:gridCol w:w="346"/>
        <w:gridCol w:w="233"/>
        <w:gridCol w:w="697"/>
        <w:gridCol w:w="346"/>
        <w:gridCol w:w="226"/>
        <w:gridCol w:w="781"/>
        <w:gridCol w:w="346"/>
        <w:gridCol w:w="226"/>
        <w:gridCol w:w="886"/>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562985" cy="175260"/>
                      <wp:effectExtent l="0" t="0" r="0" b="0"/>
                      <wp:wrapNone/>
                      <wp:docPr id="118" name="Frame117"/>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7955" cy="175260"/>
                      <wp:effectExtent l="0" t="0" r="0" b="0"/>
                      <wp:wrapNone/>
                      <wp:docPr id="120" name="Frame11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42595" cy="175260"/>
                      <wp:effectExtent l="0" t="0" r="0" b="0"/>
                      <wp:wrapNone/>
                      <wp:docPr id="121" name="Frame120"/>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3510" cy="175260"/>
                      <wp:effectExtent l="0" t="0" r="0" b="0"/>
                      <wp:wrapNone/>
                      <wp:docPr id="123" name="Frame1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95935" cy="175260"/>
                      <wp:effectExtent l="0" t="0" r="0" b="0"/>
                      <wp:wrapNone/>
                      <wp:docPr id="124" name="Frame1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3510" cy="175260"/>
                      <wp:effectExtent l="0" t="0" r="0" b="0"/>
                      <wp:wrapNone/>
                      <wp:docPr id="126" name="Frame1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2610" cy="175260"/>
                      <wp:effectExtent l="0" t="0" r="0" b="0"/>
                      <wp:wrapNone/>
                      <wp:docPr id="127" name="Frame1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83" w:type="dxa"/>
            <w:gridSpan w:val="5"/>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5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30"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pPr>
            <w:r>
              <w:rPr/>
              <w:t>​</w:t>
            </w:r>
          </w:p>
        </w:tc>
      </w:tr>
      <w:tr>
        <w:trPr/>
        <w:tc>
          <w:tcPr>
            <w:tcW w:w="56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charges and other income:</w:t>
            </w:r>
          </w:p>
        </w:tc>
        <w:tc>
          <w:tcPr>
            <w:tcW w:w="346" w:type="dxa"/>
            <w:tcBorders/>
            <w:shd w:fill="CCEEFF" w:val="clear"/>
            <w:vAlign w:val="center"/>
          </w:tcPr>
          <w:p>
            <w:pPr>
              <w:pStyle w:val="TableContents"/>
              <w:bidi w:val="0"/>
              <w:spacing w:before="0" w:after="1"/>
              <w:ind w:left="0" w:right="0" w:hanging="0"/>
              <w:jc w:val="center"/>
              <w:rPr/>
            </w:pPr>
            <w:r>
              <w:rPr/>
              <w:t>​</w:t>
            </w:r>
          </w:p>
        </w:tc>
        <w:tc>
          <w:tcPr>
            <w:tcW w:w="233" w:type="dxa"/>
            <w:tcBorders/>
            <w:shd w:fill="CCEEFF" w:val="clear"/>
            <w:vAlign w:val="center"/>
          </w:tcPr>
          <w:p>
            <w:pPr>
              <w:pStyle w:val="TableContents"/>
              <w:bidi w:val="0"/>
              <w:spacing w:before="0" w:after="1"/>
              <w:ind w:left="0" w:right="0" w:hanging="0"/>
              <w:jc w:val="center"/>
              <w:rPr/>
            </w:pPr>
            <w:r>
              <w:rPr/>
              <w:t>  ​</w:t>
            </w:r>
          </w:p>
        </w:tc>
        <w:tc>
          <w:tcPr>
            <w:tcW w:w="69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886" w:type="dxa"/>
            <w:tcBorders/>
            <w:shd w:fill="CCEEFF" w:val="clear"/>
            <w:vAlign w:val="center"/>
          </w:tcPr>
          <w:p>
            <w:pPr>
              <w:pStyle w:val="TableContents"/>
              <w:bidi w:val="0"/>
              <w:spacing w:before="0" w:after="1"/>
              <w:ind w:left="0" w:right="0" w:hanging="0"/>
              <w:jc w:val="center"/>
              <w:rPr/>
            </w:pPr>
            <w:r>
              <w:rPr/>
              <w:t>​</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346" w:type="dxa"/>
            <w:tcBorders/>
            <w:vAlign w:val="center"/>
          </w:tcPr>
          <w:p>
            <w:pPr>
              <w:pStyle w:val="TableContents"/>
              <w:bidi w:val="0"/>
              <w:spacing w:before="0" w:after="1"/>
              <w:ind w:left="0" w:right="0" w:hanging="0"/>
              <w:jc w:val="center"/>
              <w:rPr/>
            </w:pPr>
            <w:r>
              <w:rPr/>
              <w:t>​</w:t>
            </w:r>
          </w:p>
        </w:tc>
        <w:tc>
          <w:tcPr>
            <w:tcW w:w="233" w:type="dxa"/>
            <w:tcBorders/>
            <w:vAlign w:val="center"/>
          </w:tcPr>
          <w:p>
            <w:pPr>
              <w:pStyle w:val="TableContents"/>
              <w:bidi w:val="0"/>
              <w:spacing w:before="0" w:after="1"/>
              <w:ind w:left="0" w:right="0" w:hanging="0"/>
              <w:jc w:val="center"/>
              <w:rPr/>
            </w:pPr>
            <w:r>
              <w:rPr/>
              <w:t>  ​</w:t>
            </w:r>
          </w:p>
        </w:tc>
        <w:tc>
          <w:tcPr>
            <w:tcW w:w="69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the Citibank Alliance and former Wells Fargo Alliance</w:t>
            </w:r>
          </w:p>
        </w:tc>
        <w:tc>
          <w:tcPr>
            <w:tcW w:w="346" w:type="dxa"/>
            <w:tcBorders/>
            <w:shd w:fill="CCEEFF" w:val="clear"/>
            <w:vAlign w:val="center"/>
          </w:tcPr>
          <w:p>
            <w:pPr>
              <w:pStyle w:val="TableContents"/>
              <w:bidi w:val="0"/>
              <w:spacing w:before="0" w:after="1"/>
              <w:ind w:left="0" w:right="0" w:hanging="0"/>
              <w:jc w:val="center"/>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39,616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54,073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67,227</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Shipping and handling income</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35,052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36,637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40,134</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14,926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14,719</w:t>
            </w:r>
          </w:p>
        </w:tc>
      </w:tr>
      <w:tr>
        <w:trPr/>
        <w:tc>
          <w:tcPr>
            <w:tcW w:w="5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6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89,594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107,398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122,080</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service charges and other income</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89,713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107,595</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122,367</w:t>
            </w:r>
          </w:p>
        </w:tc>
      </w:tr>
    </w:tbl>
    <w:p>
      <w:pPr>
        <w:pStyle w:val="TextBody"/>
        <w:bidi w:val="0"/>
        <w:spacing w:before="0" w:after="240"/>
        <w:ind w:left="0" w:right="0" w:firstLine="36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Service charges and other income includes the income from the Citibank Alliance and former Wells Fargo Alliance. During the third quarter of fiscal 2024, the Company transitioned to its new agreement with Citi to provide a credit card program for Dillard’s customers, replacing the existing Wells Fargo Alliance. Income from the alliances decreased $14.5 million in fiscal 2025 compared to fiscal 2024, primarily from decreases in finance charges and late fees mainly resulting from lower average net receivables. While future cash flows under the Citibank Alliance are difficult to predict, the Company and Citi remain focused on collaborative strategies to enhance customer awareness and acceptance of the program’s product offerings in an effort to improve the financial performance of this alliance; however, there can be no assurance that these efforts will significantly impact the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Gross Margin</w:t>
      </w:r>
    </w:p>
    <w:tbl>
      <w:tblPr>
        <w:tblW w:w="8634" w:type="dxa"/>
        <w:jc w:val="left"/>
        <w:tblInd w:w="0" w:type="dxa"/>
        <w:tblLayout w:type="fixed"/>
        <w:tblCellMar>
          <w:top w:w="0" w:type="dxa"/>
          <w:left w:w="0" w:type="dxa"/>
          <w:bottom w:w="0" w:type="dxa"/>
          <w:right w:w="0" w:type="dxa"/>
        </w:tblCellMar>
      </w:tblPr>
      <w:tblGrid>
        <w:gridCol w:w="4396"/>
        <w:gridCol w:w="226"/>
        <w:gridCol w:w="931"/>
        <w:gridCol w:w="361"/>
        <w:gridCol w:w="226"/>
        <w:gridCol w:w="931"/>
        <w:gridCol w:w="361"/>
        <w:gridCol w:w="226"/>
        <w:gridCol w:w="976"/>
      </w:tblGrid>
      <w:tr>
        <w:trPr/>
        <w:tc>
          <w:tcPr>
            <w:tcW w:w="439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3510" cy="175260"/>
                      <wp:effectExtent l="0" t="0" r="0" b="0"/>
                      <wp:wrapNone/>
                      <wp:docPr id="128" name="Frame1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91185" cy="175260"/>
                      <wp:effectExtent l="0" t="0" r="0" b="0"/>
                      <wp:wrapNone/>
                      <wp:docPr id="129" name="Frame1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29235" cy="175260"/>
                      <wp:effectExtent l="0" t="0" r="0" b="0"/>
                      <wp:wrapNone/>
                      <wp:docPr id="130" name="Frame12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3510" cy="175260"/>
                      <wp:effectExtent l="0" t="0" r="0" b="0"/>
                      <wp:wrapNone/>
                      <wp:docPr id="131" name="Frame1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91185" cy="175260"/>
                      <wp:effectExtent l="0" t="0" r="0" b="0"/>
                      <wp:wrapNone/>
                      <wp:docPr id="132" name="Frame1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29235" cy="175260"/>
                      <wp:effectExtent l="0" t="0" r="0" b="0"/>
                      <wp:wrapNone/>
                      <wp:docPr id="133" name="Frame1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43510" cy="175260"/>
                      <wp:effectExtent l="0" t="0" r="0" b="0"/>
                      <wp:wrapNone/>
                      <wp:docPr id="134" name="Frame1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19760" cy="175260"/>
                      <wp:effectExtent l="0" t="0" r="0" b="0"/>
                      <wp:wrapNone/>
                      <wp:docPr id="135" name="Frame13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61"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61" w:type="dxa"/>
            <w:tcBorders/>
            <w:vAlign w:val="center"/>
          </w:tcPr>
          <w:p>
            <w:pPr>
              <w:pStyle w:val="TableContents"/>
              <w:bidi w:val="0"/>
              <w:spacing w:before="0" w:after="0"/>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margin:</w:t>
            </w:r>
          </w:p>
        </w:tc>
        <w:tc>
          <w:tcPr>
            <w:tcW w:w="2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2,544,335</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2,550,665</w:t>
            </w:r>
          </w:p>
        </w:tc>
        <w:tc>
          <w:tcPr>
            <w:tcW w:w="3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2,709,071</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12,426</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12,422</w:t>
            </w:r>
          </w:p>
        </w:tc>
        <w:tc>
          <w:tcPr>
            <w:tcW w:w="361"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11,874</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margin</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2,556,761</w:t>
            </w:r>
          </w:p>
        </w:tc>
        <w:tc>
          <w:tcPr>
            <w:tcW w:w="361"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2,563,087</w:t>
            </w:r>
          </w:p>
        </w:tc>
        <w:tc>
          <w:tcPr>
            <w:tcW w:w="361"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2,720,945</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margin as a percentage of segment net sales:</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2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gross margin as a percentage of net sales</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2025 Compared to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Consolidated gross margin was essentially unchanged while gross margin from retail operations decreased 20 basis points of sales during fiscal 2025 compared to fiscal 2024. During fiscal 2025, gross margin decreased slightly in ladies’ apparel and men’s apparel and accessories, while gross margin increased slightly in ladies’ accessories and lingerie and shoes. Gross margin was essentially flat in all other product categories. Retail store inventory increased 2% at January 31, 2026 compared to February 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Inflation and changing trade restrictions, including tariffs, pose a risk to our operations. The extent to which our business will be affected by these factors depends on our customers’ continuing ability and willingness to accept higher prices and the effectiveness of our ongoing initiatives to manage these fluctuating costs.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 Expenses (“SG&amp;A”)</w:t>
      </w:r>
    </w:p>
    <w:tbl>
      <w:tblPr>
        <w:tblW w:w="8335" w:type="dxa"/>
        <w:jc w:val="left"/>
        <w:tblInd w:w="0" w:type="dxa"/>
        <w:tblLayout w:type="fixed"/>
        <w:tblCellMar>
          <w:top w:w="0" w:type="dxa"/>
          <w:left w:w="0" w:type="dxa"/>
          <w:bottom w:w="0" w:type="dxa"/>
          <w:right w:w="0" w:type="dxa"/>
        </w:tblCellMar>
      </w:tblPr>
      <w:tblGrid>
        <w:gridCol w:w="3781"/>
        <w:gridCol w:w="211"/>
        <w:gridCol w:w="931"/>
        <w:gridCol w:w="361"/>
        <w:gridCol w:w="211"/>
        <w:gridCol w:w="931"/>
        <w:gridCol w:w="361"/>
        <w:gridCol w:w="211"/>
        <w:gridCol w:w="931"/>
        <w:gridCol w:w="406"/>
      </w:tblGrid>
      <w:tr>
        <w:trPr/>
        <w:tc>
          <w:tcPr>
            <w:tcW w:w="378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91185" cy="175260"/>
                      <wp:effectExtent l="0" t="0" r="0" b="0"/>
                      <wp:wrapNone/>
                      <wp:docPr id="137" name="Frame1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29235" cy="175260"/>
                      <wp:effectExtent l="0" t="0" r="0" b="0"/>
                      <wp:wrapNone/>
                      <wp:docPr id="138" name="Frame1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91185" cy="175260"/>
                      <wp:effectExtent l="0" t="0" r="0" b="0"/>
                      <wp:wrapNone/>
                      <wp:docPr id="140" name="Frame1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29235" cy="175260"/>
                      <wp:effectExtent l="0" t="0" r="0" b="0"/>
                      <wp:wrapNone/>
                      <wp:docPr id="141" name="Frame1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1185" cy="175260"/>
                      <wp:effectExtent l="0" t="0" r="0" b="0"/>
                      <wp:wrapNone/>
                      <wp:docPr id="143" name="Frame1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57810" cy="175260"/>
                      <wp:effectExtent l="0" t="0" r="0" b="0"/>
                      <wp:wrapNone/>
                      <wp:docPr id="144" name="Frame1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61"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61"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c>
          <w:tcPr>
            <w:tcW w:w="406" w:type="dxa"/>
            <w:tcBorders/>
            <w:vAlign w:val="center"/>
          </w:tcPr>
          <w:p>
            <w:pPr>
              <w:pStyle w:val="TableContents"/>
              <w:bidi w:val="0"/>
              <w:spacing w:before="0" w:after="0"/>
              <w:ind w:left="0" w:right="0" w:hanging="0"/>
              <w:jc w:val="center"/>
              <w:rPr/>
            </w:pPr>
            <w:r>
              <w:rPr/>
              <w:t>  ​</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SG&amp;A:</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1,749,678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1,720,907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1,707,793</w:t>
            </w:r>
          </w:p>
        </w:tc>
        <w:tc>
          <w:tcPr>
            <w:tcW w:w="406"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9,622</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SG&amp;A</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1,759,236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1,731,234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1,717,415</w:t>
            </w:r>
          </w:p>
        </w:tc>
        <w:tc>
          <w:tcPr>
            <w:tcW w:w="406"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SG&amp;A as a percentage of segment net sales:</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SG&amp;A as a percentage of net sales</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40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2025 Compared to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SG&amp;A increased $28.0 million and 50 basis points of sales during fiscal 2025 compared to fiscal 2024. The increase in SG&amp;A during fiscal 2025 was primarily attributable to a $13.1 million increase in payroll and payroll-related expenses (increasing to $1,244.5 million for fiscal 2025 from $1,231.4 million for fiscal 2024) and an $8.7 million increase in services purchased. Inflation continues to be a concern for management, impacting many areas of our operating expenses.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and Debt (Income) Expense, Net</w:t>
      </w:r>
    </w:p>
    <w:tbl>
      <w:tblPr>
        <w:tblW w:w="7385" w:type="dxa"/>
        <w:jc w:val="left"/>
        <w:tblInd w:w="0" w:type="dxa"/>
        <w:tblLayout w:type="fixed"/>
        <w:tblCellMar>
          <w:top w:w="0" w:type="dxa"/>
          <w:left w:w="0" w:type="dxa"/>
          <w:bottom w:w="0" w:type="dxa"/>
          <w:right w:w="0" w:type="dxa"/>
        </w:tblCellMar>
      </w:tblPr>
      <w:tblGrid>
        <w:gridCol w:w="3766"/>
        <w:gridCol w:w="229"/>
        <w:gridCol w:w="701"/>
        <w:gridCol w:w="346"/>
        <w:gridCol w:w="226"/>
        <w:gridCol w:w="796"/>
        <w:gridCol w:w="346"/>
        <w:gridCol w:w="229"/>
        <w:gridCol w:w="746"/>
      </w:tblGrid>
      <w:tr>
        <w:trPr/>
        <w:tc>
          <w:tcPr>
            <w:tcW w:w="376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5415" cy="175260"/>
                      <wp:effectExtent l="0" t="0" r="0" b="0"/>
                      <wp:wrapNone/>
                      <wp:docPr id="145" name="Frame14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45135" cy="175260"/>
                      <wp:effectExtent l="0" t="0" r="0" b="0"/>
                      <wp:wrapNone/>
                      <wp:docPr id="146" name="Frame145"/>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3510" cy="175260"/>
                      <wp:effectExtent l="0" t="0" r="0" b="0"/>
                      <wp:wrapNone/>
                      <wp:docPr id="148" name="Frame1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05460" cy="175260"/>
                      <wp:effectExtent l="0" t="0" r="0" b="0"/>
                      <wp:wrapNone/>
                      <wp:docPr id="149" name="Frame1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5415" cy="175260"/>
                      <wp:effectExtent l="0" t="0" r="0" b="0"/>
                      <wp:wrapNone/>
                      <wp:docPr id="151" name="Frame15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73710" cy="175260"/>
                      <wp:effectExtent l="0" t="0" r="0" b="0"/>
                      <wp:wrapNone/>
                      <wp:docPr id="152" name="Frame151"/>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0"/>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and debt (income) expense, net:</w:t>
            </w:r>
          </w:p>
        </w:tc>
        <w:tc>
          <w:tcPr>
            <w:tcW w:w="229" w:type="dxa"/>
            <w:tcBorders/>
            <w:shd w:fill="CCEEFF" w:val="clear"/>
            <w:vAlign w:val="center"/>
          </w:tcPr>
          <w:p>
            <w:pPr>
              <w:pStyle w:val="TableContents"/>
              <w:bidi w:val="0"/>
              <w:spacing w:before="0" w:after="0"/>
              <w:ind w:left="0" w:right="0" w:hanging="0"/>
              <w:jc w:val="center"/>
              <w:rPr/>
            </w:pPr>
            <w:r>
              <w:rPr/>
              <w:t>  ​</w:t>
            </w:r>
          </w:p>
        </w:tc>
        <w:tc>
          <w:tcPr>
            <w:tcW w:w="70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9" w:type="dxa"/>
            <w:tcBorders/>
            <w:shd w:fill="CCEEFF" w:val="clear"/>
            <w:vAlign w:val="center"/>
          </w:tcPr>
          <w:p>
            <w:pPr>
              <w:pStyle w:val="TableContents"/>
              <w:bidi w:val="0"/>
              <w:spacing w:before="0" w:after="0"/>
              <w:ind w:left="0" w:right="0" w:hanging="0"/>
              <w:jc w:val="center"/>
              <w:rPr/>
            </w:pPr>
            <w:r>
              <w:rPr/>
              <w:t>  ​</w:t>
            </w:r>
          </w:p>
        </w:tc>
        <w:tc>
          <w:tcPr>
            <w:tcW w:w="746" w:type="dxa"/>
            <w:tcBorders/>
            <w:shd w:fill="CCEEFF" w:val="clear"/>
            <w:vAlign w:val="center"/>
          </w:tcPr>
          <w:p>
            <w:pPr>
              <w:pStyle w:val="TableContents"/>
              <w:bidi w:val="0"/>
              <w:spacing w:before="0" w:after="0"/>
              <w:ind w:left="0" w:right="0" w:hanging="0"/>
              <w:jc w:val="center"/>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(12,805)</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(3,927)</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and debt (income) expense, net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(13,695)</w:t>
            </w:r>
          </w:p>
        </w:tc>
        <w:tc>
          <w:tcPr>
            <w:tcW w:w="34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2025 Compared to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interest and debt (income) expense decreased $7.5 million in fiscal 2025 compared to fiscal 2024 primarily due to a decrease in interest income, mainly from lower interest rates, and capitalized interest. Interest income was $47.2 million and $53.6 million in fiscal 2025 and fiscal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Expense</w:t>
      </w:r>
    </w:p>
    <w:tbl>
      <w:tblPr>
        <w:tblW w:w="5780" w:type="dxa"/>
        <w:jc w:val="left"/>
        <w:tblInd w:w="0" w:type="dxa"/>
        <w:tblLayout w:type="fixed"/>
        <w:tblCellMar>
          <w:top w:w="0" w:type="dxa"/>
          <w:left w:w="0" w:type="dxa"/>
          <w:bottom w:w="0" w:type="dxa"/>
          <w:right w:w="0" w:type="dxa"/>
        </w:tblCellMar>
      </w:tblPr>
      <w:tblGrid>
        <w:gridCol w:w="2236"/>
        <w:gridCol w:w="221"/>
        <w:gridCol w:w="709"/>
        <w:gridCol w:w="346"/>
        <w:gridCol w:w="221"/>
        <w:gridCol w:w="709"/>
        <w:gridCol w:w="346"/>
        <w:gridCol w:w="211"/>
        <w:gridCol w:w="78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19860" cy="175260"/>
                      <wp:effectExtent l="0" t="0" r="0" b="0"/>
                      <wp:wrapNone/>
                      <wp:docPr id="153" name="Frame152"/>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0335" cy="175260"/>
                      <wp:effectExtent l="0" t="0" r="0" b="0"/>
                      <wp:wrapNone/>
                      <wp:docPr id="154" name="Frame15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50215" cy="175260"/>
                      <wp:effectExtent l="0" t="0" r="0" b="0"/>
                      <wp:wrapNone/>
                      <wp:docPr id="155" name="Frame154"/>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0335" cy="175260"/>
                      <wp:effectExtent l="0" t="0" r="0" b="0"/>
                      <wp:wrapNone/>
                      <wp:docPr id="157" name="Frame15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50215" cy="175260"/>
                      <wp:effectExtent l="0" t="0" r="0" b="0"/>
                      <wp:wrapNone/>
                      <wp:docPr id="158" name="Frame157"/>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5935" cy="175260"/>
                      <wp:effectExtent l="0" t="0" r="0" b="0"/>
                      <wp:wrapNone/>
                      <wp:docPr id="161" name="Frame1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w:t>
            </w:r>
          </w:p>
        </w:tc>
        <w:tc>
          <w:tcPr>
            <w:tcW w:w="221" w:type="dxa"/>
            <w:tcBorders/>
            <w:shd w:fill="CCEEFF" w:val="clear"/>
            <w:vAlign w:val="center"/>
          </w:tcPr>
          <w:p>
            <w:pPr>
              <w:pStyle w:val="TableContents"/>
              <w:bidi w:val="0"/>
              <w:spacing w:before="0" w:after="0"/>
              <w:ind w:left="0" w:right="0" w:hanging="0"/>
              <w:jc w:val="center"/>
              <w:rPr/>
            </w:pPr>
            <w:r>
              <w:rPr/>
              <w:t>​</w:t>
            </w:r>
          </w:p>
        </w:tc>
        <w:tc>
          <w:tcPr>
            <w:tcW w:w="7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center"/>
              <w:rPr/>
            </w:pPr>
            <w:r>
              <w:rPr/>
              <w:t>​</w:t>
            </w:r>
          </w:p>
        </w:tc>
        <w:tc>
          <w:tcPr>
            <w:tcW w:w="7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20,797</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18,791</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20,797</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18,791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2025 Compared to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expense decreased $3.8 million in fiscal 2025 compared to fiscal 2024 primarily due to a decrease in the amortization of the net actuarial loss related to the Company’s pension plan.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Gain on Disposal of Assets</w:t>
      </w:r>
    </w:p>
    <w:tbl>
      <w:tblPr>
        <w:tblW w:w="6606" w:type="dxa"/>
        <w:jc w:val="left"/>
        <w:tblInd w:w="0" w:type="dxa"/>
        <w:tblLayout w:type="fixed"/>
        <w:tblCellMar>
          <w:top w:w="0" w:type="dxa"/>
          <w:left w:w="0" w:type="dxa"/>
          <w:bottom w:w="0" w:type="dxa"/>
          <w:right w:w="0" w:type="dxa"/>
        </w:tblCellMar>
      </w:tblPr>
      <w:tblGrid>
        <w:gridCol w:w="2656"/>
        <w:gridCol w:w="346"/>
        <w:gridCol w:w="211"/>
        <w:gridCol w:w="796"/>
        <w:gridCol w:w="346"/>
        <w:gridCol w:w="261"/>
        <w:gridCol w:w="669"/>
        <w:gridCol w:w="346"/>
        <w:gridCol w:w="217"/>
        <w:gridCol w:w="758"/>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86560" cy="175260"/>
                      <wp:effectExtent l="0" t="0" r="0" b="0"/>
                      <wp:wrapNone/>
                      <wp:docPr id="162" name="Frame16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5460" cy="175260"/>
                      <wp:effectExtent l="0" t="0" r="0" b="0"/>
                      <wp:wrapNone/>
                      <wp:docPr id="165" name="Frame1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5735" cy="175260"/>
                      <wp:effectExtent l="0" t="0" r="0" b="0"/>
                      <wp:wrapNone/>
                      <wp:docPr id="167" name="Frame16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24815" cy="175260"/>
                      <wp:effectExtent l="0" t="0" r="0" b="0"/>
                      <wp:wrapNone/>
                      <wp:docPr id="168" name="Frame167"/>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7795" cy="175260"/>
                      <wp:effectExtent l="0" t="0" r="0" b="0"/>
                      <wp:wrapNone/>
                      <wp:docPr id="170" name="Frame16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81330" cy="175260"/>
                      <wp:effectExtent l="0" t="0" r="0" b="0"/>
                      <wp:wrapNone/>
                      <wp:docPr id="171" name="Frame170"/>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Gain on disposal of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pPr>
            <w:r>
              <w:rPr/>
              <w:t>  ​</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(20,353)</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(6,030)</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gain on disposal of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(20,373)</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76" w:name="_Hlk124797252"/>
      <w:bookmarkEnd w:id="76"/>
      <w:r>
        <w:rPr>
          <w:rFonts w:ascii="Times New Roman;Times;serif" w:hAnsi="Times New Roman;Times;serif"/>
          <w:b/>
          <w:i/>
          <w:sz w:val="20"/>
        </w:rPr>
        <w:t>Fiscal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the Company received proceeds of $25.7 million primarily from the sale of five properties, resulting in a gain of $20.4 million that was recorded in gain on disposal of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estimated federal and state effective income tax rate was 17.9% in fiscal 2025, 18.7% in fiscal 2024 and 19.4% in fiscal 2023. The Company expects the fiscal 2026 federal and state effective income tax rate to approximate 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Fiscal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income taxes included federal and state tax benefits of $35.0 million due to the deduction related to that portion of the special dividend of $30.00 per share that was paid to the Dillard’s, Inc. Investment and Employee Stock Ownership Plan on January 5,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4, 2025, H.R.1 – One Big Beautiful Bill Act (Public Law No. 119-21) was signed into law. Notable provisions include restoration of 100% bonus depreciation, full expensing of domestic research expenditures, and modifications to interest expense limitations and charitable contribution deduction thresholds. Accounting Standards Codification §740, </w:t>
      </w:r>
      <w:r>
        <w:rPr>
          <w:rFonts w:ascii="Times New Roman;Times;serif" w:hAnsi="Times New Roman;Times;serif"/>
          <w:i/>
          <w:sz w:val="20"/>
        </w:rPr>
        <w:t>Accounting for Income Taxes</w:t>
      </w:r>
      <w:r>
        <w:rPr>
          <w:rFonts w:ascii="Times New Roman;Times;serif" w:hAnsi="Times New Roman;Times;serif"/>
          <w:sz w:val="20"/>
        </w:rPr>
        <w:t xml:space="preserve">, requires recognition of the effects of changes in tax law during the period of enactment. The effects of these provisions did not have, and are not expected to have, a material impact on the Company’s financial results.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Fiscal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fiscal 2024, income taxes included federal and state tax benefits of $30.8 million due to the deduction related to that portion of the special dividend of $25.00 per share that was paid to the Dillard’s, Inc. Investment and Employee Stock Ownership Plan on January 6, 2025. </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current non-operating priorities for its use of cash are strategic investments to enhance the value of existing properties, stock repurchases and dividend payments to stockholders.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flows for the Company’s most recent three fiscal years were as follows:</w:t>
      </w:r>
    </w:p>
    <w:tbl>
      <w:tblPr>
        <w:tblW w:w="10205" w:type="dxa"/>
        <w:jc w:val="left"/>
        <w:tblInd w:w="0" w:type="dxa"/>
        <w:tblLayout w:type="fixed"/>
        <w:tblCellMar>
          <w:top w:w="0" w:type="dxa"/>
          <w:left w:w="0" w:type="dxa"/>
          <w:bottom w:w="0" w:type="dxa"/>
          <w:right w:w="0" w:type="dxa"/>
        </w:tblCellMar>
      </w:tblPr>
      <w:tblGrid>
        <w:gridCol w:w="3307"/>
        <w:gridCol w:w="211"/>
        <w:gridCol w:w="878"/>
        <w:gridCol w:w="346"/>
        <w:gridCol w:w="211"/>
        <w:gridCol w:w="878"/>
        <w:gridCol w:w="346"/>
        <w:gridCol w:w="211"/>
        <w:gridCol w:w="878"/>
        <w:gridCol w:w="346"/>
        <w:gridCol w:w="211"/>
        <w:gridCol w:w="790"/>
        <w:gridCol w:w="109"/>
        <w:gridCol w:w="346"/>
        <w:gridCol w:w="211"/>
        <w:gridCol w:w="926"/>
      </w:tblGrid>
      <w:tr>
        <w:trPr/>
        <w:tc>
          <w:tcPr>
            <w:tcW w:w="3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99945" cy="175260"/>
                      <wp:effectExtent l="0" t="0" r="0" b="0"/>
                      <wp:wrapNone/>
                      <wp:docPr id="172" name="Frame171"/>
                      <a:graphic xmlns:a="http://schemas.openxmlformats.org/drawingml/2006/main">
                        <a:graphicData uri="http://schemas.microsoft.com/office/word/2010/wordprocessingShape">
                          <wps:wsp>
                            <wps:cNvSpPr txBox="1"/>
                            <wps:spPr>
                              <a:xfrm>
                                <a:off x="0" y="0"/>
                                <a:ext cx="2099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57530" cy="175260"/>
                      <wp:effectExtent l="0" t="0" r="0" b="0"/>
                      <wp:wrapNone/>
                      <wp:docPr id="174" name="Frame17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57530" cy="175260"/>
                      <wp:effectExtent l="0" t="0" r="0" b="0"/>
                      <wp:wrapNone/>
                      <wp:docPr id="177" name="Frame17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57530" cy="175260"/>
                      <wp:effectExtent l="0" t="0" r="0" b="0"/>
                      <wp:wrapNone/>
                      <wp:docPr id="180" name="Frame179"/>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01650" cy="175260"/>
                      <wp:effectExtent l="0" t="0" r="0" b="0"/>
                      <wp:wrapNone/>
                      <wp:docPr id="183" name="Frame182"/>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88010" cy="175260"/>
                      <wp:effectExtent l="0" t="0" r="0" b="0"/>
                      <wp:wrapNone/>
                      <wp:docPr id="187" name="Frame186"/>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8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9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26" w:type="dxa"/>
            <w:tcBorders/>
            <w:vAlign w:val="center"/>
          </w:tcPr>
          <w:p>
            <w:pPr>
              <w:pStyle w:val="TableContents"/>
              <w:bidi w:val="0"/>
              <w:spacing w:before="0" w:after="0"/>
              <w:ind w:left="0" w:right="0" w:hanging="0"/>
              <w:jc w:val="center"/>
              <w:rPr/>
            </w:pPr>
            <w:r>
              <w:rPr/>
              <w:t>​</w:t>
            </w:r>
          </w:p>
        </w:tc>
      </w:tr>
      <w:tr>
        <w:trPr/>
        <w:tc>
          <w:tcPr>
            <w:tcW w:w="3307" w:type="dxa"/>
            <w:tcBorders/>
            <w:vAlign w:val="center"/>
          </w:tcPr>
          <w:p>
            <w:pPr>
              <w:pStyle w:val="TableContents"/>
              <w:bidi w:val="0"/>
              <w:spacing w:before="0" w:after="0"/>
              <w:ind w:left="0" w:right="0" w:hanging="0"/>
              <w:jc w:val="left"/>
              <w:rPr/>
            </w:pPr>
            <w:r>
              <w:rPr/>
              <w:t>​</w:t>
            </w:r>
          </w:p>
        </w:tc>
        <w:tc>
          <w:tcPr>
            <w:tcW w:w="1089"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9"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9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r>
      <w:tr>
        <w:trPr/>
        <w:tc>
          <w:tcPr>
            <w:tcW w:w="33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center"/>
              <w:rPr/>
            </w:pPr>
            <w:r>
              <w:rPr/>
              <w:t>  ​ ​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0"/>
              <w:ind w:left="0" w:right="0" w:hanging="0"/>
              <w:jc w:val="center"/>
              <w:rPr/>
            </w:pPr>
            <w:r>
              <w:rPr/>
              <w:t>​</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c>
          <w:tcPr>
            <w:tcW w:w="346" w:type="dxa"/>
            <w:tcBorders/>
            <w:vAlign w:val="center"/>
          </w:tcPr>
          <w:p>
            <w:pPr>
              <w:pStyle w:val="TableContents"/>
              <w:bidi w:val="0"/>
              <w:spacing w:before="0" w:after="0"/>
              <w:ind w:left="0" w:right="0" w:hanging="0"/>
              <w:jc w:val="center"/>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2025 - 2024</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2024 - 2023</w:t>
            </w:r>
          </w:p>
        </w:tc>
      </w:tr>
      <w:tr>
        <w:trPr/>
        <w:tc>
          <w:tcPr>
            <w:tcW w:w="3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717,008</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714,127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883,590</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(169,463)</w:t>
            </w:r>
          </w:p>
        </w:tc>
      </w:tr>
      <w:tr>
        <w:trPr/>
        <w:tc>
          <w:tcPr>
            <w:tcW w:w="3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211"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(269,731)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(115,594)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292,268</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(154,137)</w:t>
            </w:r>
          </w:p>
        </w:tc>
      </w:tr>
      <w:tr>
        <w:trPr/>
        <w:tc>
          <w:tcPr>
            <w:tcW w:w="3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(595,939)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(534,829)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(620,040)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(61,110)</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85,211</w:t>
            </w:r>
          </w:p>
        </w:tc>
      </w:tr>
      <w:tr>
        <w:trPr/>
        <w:tc>
          <w:tcPr>
            <w:tcW w:w="3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Increase (Decrease) in Cash and Cash Equivalents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234,039</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(238,389)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primary source of the Company’s liquidity is, and historically has been, cash flows from operations. Due to the seasonality of the Company’s business, we have historically realized a significant portion of the cash flows from operating activities during the second half of the fiscal year. Retail operations sales are the key operating cash component, providing 94.9%, 94.4% and 94.3% of total revenues in fiscal 2025,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flows from operations increased $2.9 million during fiscal 2025 compared to fiscal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cash inflows also include the Company’s income from the Citibank Alliance, former Wells Fargo Alliance and cash distributions from joint ventures (excluding returns of investments), if any. Operating cash outflows include net payments to vendors for inventory, services and supplies, payments to employees and payments of interest and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Wells Fargo Bank, N.A. (“Wells Fargo”) previously owned and managed Dillard’s private label credit cards, including credit cards co-branded with American Express under a long-term marketing and servicing alliance (“Wells Fargo Alliance”). </w:t>
      </w:r>
      <w:r>
        <w:rPr>
          <w:rFonts w:ascii="Times New Roman;Times;serif" w:hAnsi="Times New Roman;Times;serif"/>
          <w:sz w:val="20"/>
        </w:rPr>
        <w:t>In January 2024, the Company announced that it entered into a new agreement with Citibank, N.A. (“Citi”) to provide the private label credit card program for Dillard’s customers under a new alliance (“Citibank Alliance”), replacing the existing credit card program under the Wells Fargo Alliance upon its termination in September 2024. The new program launched on August 19, 2024 for new Dillard’s credit applicants. Existing accounts transferred from Wells Fargo to Citi on September 16, 2024. The term of the new Citi agreement is 10 years with automatic extensions for successive two-year terms unless the agreement is terminated by either party in accordance with the terms and conditions of the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the Citibank Alliance, Citi establishes, owns and manages Dillard’s private label credit cards, including a new co-branded Mastercard Incorporated card (“Mastercard,” collectively, the “private label cards”). The new co-branded Mastercard replaced the previous co-branded card. Citi retains the benefits and risks associated with the ownership of the private label card accounts, provides key customer service functions, including new account openings, transaction authorization, billing adjustments and customer inquiries, receives the finance charge income and incurs the bad debts associated with those accounts.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Citibank Alliance, we receive on-going cash compensation from Citi based upon the portfolio’s earnings. The compensation received from the portfolio is determined monthly and has no recourse provisions. The Company recognized income of $39.6 million, $54.1 million and $67.2 million from the Citibank Alliance and the former Wells Fargo Alliance during fiscal 2025, 2024 and 2023, respectively.</w:t>
      </w:r>
    </w:p>
    <w:p>
      <w:pPr>
        <w:pStyle w:val="TextBody"/>
        <w:bidi w:val="0"/>
        <w:spacing w:before="0" w:after="0"/>
        <w:ind w:left="0" w:right="0" w:firstLine="360"/>
        <w:jc w:val="left"/>
        <w:rPr/>
      </w:pPr>
      <w:r>
        <w:rPr/>
        <w:t>​</w:t>
      </w:r>
    </w:p>
    <w:p>
      <w:pPr>
        <w:pStyle w:val="TextBody"/>
        <w:bidi w:val="0"/>
        <w:spacing w:before="0" w:after="0"/>
        <w:ind w:left="0" w:right="0" w:firstLine="360"/>
        <w:jc w:val="left"/>
        <w:rPr/>
      </w:pPr>
      <w:r>
        <w:rPr/>
        <w:t> </w:t>
      </w:r>
      <w:r>
        <w:rPr>
          <w:rFonts w:ascii="Times New Roman;Times;serif" w:hAnsi="Times New Roman;Times;serif"/>
          <w:sz w:val="20"/>
        </w:rPr>
        <w:t xml:space="preserve">While future cash flows under the Citibank Alliance are difficult to predict, the Company and Citi remain focused on collaborative strategies to enhance customer awareness and acceptance of the program’s product offerings in an effort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improve the financial performance of this alliance; however, there can be no assurance that these efforts will significantly impact the performance. Any material decrease could adversely affect our operating results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January 31, 2026, the Company had purchase obligations of $1,254.8 million outstanding for merchandise and store construction commitments, all of which are expected to be paid during fiscal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inflows from investing activities generally include proceeds from sales of property and equipment and maturities of short-term investments. Cash outflows from investing activities generally include payments for capital expenditures such as property and equipment and other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from investing activities increased $292.3 million during fiscal 2025 compared to fiscal 2024 primarily due to a net decrease in short-term investments.</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Capital expenditures decreased $11.2 million for fiscal 2025 compared to fiscal 2024. There were no new locations opened during fiscal 2025. During fiscal 2024, the Company opened a new location at The Empire Mall in Sioux Falls, South Dakota (140,000 square feet) marking its 30</w:t>
      </w:r>
      <w:r>
        <w:rPr>
          <w:rFonts w:ascii="Times New Roman;Times;serif" w:hAnsi="Times New Roman;Times;serif"/>
          <w:sz w:val="15"/>
        </w:rPr>
        <w:t>th</w:t>
      </w:r>
      <w:r>
        <w:rPr>
          <w:rFonts w:ascii="Times New Roman;Times;serif" w:hAnsi="Times New Roman;Times;serif"/>
          <w:sz w:val="20"/>
        </w:rPr>
        <w:t> state of operation.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the Company closed its</w:t>
      </w:r>
      <w:r>
        <w:rPr>
          <w:rFonts w:ascii="Times New Roman;Times;serif" w:hAnsi="Times New Roman;Times;serif"/>
          <w:color w:val="212529"/>
          <w:sz w:val="20"/>
          <w:shd w:fill="FFFFFF" w:val="clear"/>
        </w:rPr>
        <w:t xml:space="preserve"> location at </w:t>
      </w:r>
      <w:r>
        <w:rPr>
          <w:rFonts w:ascii="Times New Roman;Times;serif" w:hAnsi="Times New Roman;Times;serif"/>
          <w:sz w:val="20"/>
        </w:rPr>
        <w:t>The Shops at Willow Bend in Plano, Texas (240,000 square feet). There were no material costs associated or expected with this store closure. We remain committed to closing stores where appropriate and may incur future closing costs related to such stores when they close.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fiscal 2025, the Company received cash proceeds of $25.7 million and recorded a related gain of $20.4 million primarily from the sale of five properties: (1) a 240,000 square foot location at The Shops at Willow Bend in Plano, Texas, (2) a 150,000 square foot non-operating location at Crossroads Center in Waterloo, Iowa, (3) a non-operating building at Towne West Square in Wichita, Kansas, (4) a non-operating building at Golden Triangle Mall in Denton, Texas, and (5) a parcel of land at Rivergate Mall in Goodlettsville, Tennessee.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2024, the Company also closed (1) its</w:t>
      </w:r>
      <w:r>
        <w:rPr>
          <w:rFonts w:ascii="Times New Roman;Times;serif" w:hAnsi="Times New Roman;Times;serif"/>
          <w:color w:val="212529"/>
          <w:sz w:val="20"/>
          <w:shd w:fill="FFFFFF" w:val="clear"/>
        </w:rPr>
        <w:t xml:space="preserve"> </w:t>
      </w:r>
      <w:r>
        <w:rPr>
          <w:rFonts w:ascii="Times New Roman;Times;serif" w:hAnsi="Times New Roman;Times;serif"/>
          <w:sz w:val="20"/>
        </w:rPr>
        <w:t xml:space="preserve">Eastwood Mall Clearance Center in Niles, Ohio (120,000 square feet) and (2) its leased facility at Stones River Town Centre in Murfreesboro, Tennessee (145,000 square feet).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and 2024, the Company purchased certain treasury bills for $534.6 million and $696.7 million, respectively, that are classified as short-term investments. During fiscal 2025 and 2024, the Company received proceeds of $657.6 million and $530.9 million, respectively, related to maturities of its short-term investments.</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During fiscal 2025, the Company contributed $34.3 million to its mall joint ventures, recording the investments in other assets on the Company’s consolidated balance sheet.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source of cash inflows from financing activities is generally borrowings from our $800 million senior secured revolving credit facility. Financing cash outflows generally include the repayment of borrowings under the revolving credit facility, the repayment of long-term debt, the payment of dividends and the purchase of treasury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used in financing activities increased to $595.9 million in fiscal 2025 from $534.8 million in fiscal 2024 due to increase in cash dividends paid during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Stock Repurchase</w:t>
      </w:r>
      <w:r>
        <w:rPr>
          <w:rFonts w:ascii="Times New Roman;Times;serif" w:hAnsi="Times New Roman;Times;serif"/>
          <w:sz w:val="20"/>
        </w:rPr>
        <w:t>.   In February 2022, the Company’s Board of Directors authorized the Company to repurchase up to $500 million of the Company’s Class A Common Stock under an open-ended plan (“February 2022 Stock Plan”). In May 2023, the Company’s Board of Directors authorized the Company to repurchase up to $500 million of the Company’s Class A Common Stock under an open-ended plan (“May 2023 Stock Plan”). As of January 31, 2026, the Company had completed the authorized purchases under the February 2022 Stock Plan, and $165.2 million of authorization remained under the May 2023 Stock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the Company repurchased 0.3 million shares of Class A Common Stock for $107.8 million at an average price of $359.16 per share. During fiscal 2024, the Company repurchased 0.3 million shares of Class A Common Stock for $121.0 million at an average price of $367.33 per share. The ultimate disposition of the repurchased stock has not been determined.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August 16, 2022, the Inflation Reduction Act of 2022 ("the Act") was signed into law. Under the Act share repurchases after December 31, 2022 are subject to a 1% excise tax. At January 31, 2026, the Company had accrued $1.0 million of excise tax related to its share repurchase program.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Revolving Credit Agreement</w:t>
      </w:r>
      <w:r>
        <w:rPr>
          <w:rFonts w:ascii="Times New Roman;Times;serif" w:hAnsi="Times New Roman;Times;serif"/>
          <w:sz w:val="20"/>
        </w:rPr>
        <w:t>.   The Company maintains a revolving credit facility (“credit agreement”) for general corporate purposes including, among other uses, working capital financing, the issuance of letters of credit, capital expenditures and, subject to certain restrictions, the repayment of existing indebtedness and share repurchases. The credit agreement, which is</w:t>
      </w:r>
      <w:r>
        <w:rPr>
          <w:rFonts w:ascii="Times New Roman;Times;serif" w:hAnsi="Times New Roman;Times;serif"/>
          <w:sz w:val="20"/>
          <w:shd w:fill="FFFFFF" w:val="clear"/>
        </w:rPr>
        <w:t xml:space="preserve"> secured by certain deposit accounts of the Company and certain inventory of certain subsidiaries,</w:t>
      </w:r>
      <w:r>
        <w:rPr>
          <w:rFonts w:ascii="Times New Roman;Times;serif" w:hAnsi="Times New Roman;Times;serif"/>
          <w:sz w:val="20"/>
        </w:rPr>
        <w:t xml:space="preserve"> provides a borrowing capacity of $800 million, subject to certain limitations as outlined in the credit agreement, with a $200 million expansion option. The Company pays a variable rate of interest on borrowings under the credit agreement and a commitment fee to the participating banks. There are no financial covenant requirements under the credit agreement provided availability exceeds $80 million and no specified event of default has occurred or is continuing.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2023, the Company amended the credit agreement (the "2023 amendment") to reflect the changes necessary for the phaseout of LIBOR. Pursuant to the 2023 amendment, borrowings under the credit agreement bore interest, at our option, at a rate per annum equal to (1) the then alternative base rate plus the applicable rate or (2) adjusted term or daily simple SOFR, in each case plus 0.10% per annum, plus the applicable rate. The applicable rate was defined as (A) (x) 1.50% per annum in the case of term benchmark and RFR loans and (y) 0.50% per annum in the case of base rate loans when average quarterly availability is greater than or equal to 50% of the total commitments and (B) (x) 1.75% per annum in the case of term benchmark and RFR loans and (y) 0.75% per annum in the case of base rate loans when average quarterly availability is less than 50% of the total commitments. The commitment fee for unused borrowings was 0.30% per annum if average borrowings were less than 35% of the total commitments and 0.25% per annum if average borrowings were greater than or equal to 35% of the total commitments. The credit agreement, as amended by the 2023 amendment, was scheduled to mature on April 28,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March 2025, the Company amended and extended its revolving credit facility (the "2025 amendment") replacing the Company's previous amended credit agreement. The Company paid $3.3 million in issuance costs related to the 2025 amendment which was recorded in other assets on the consolidated balance sheet. The 2025 amendment continues to have the 0.10% per annum credit spread adjustment to the interest rate for term benchmark and RFR loans but reduced the applicable rate to (A) (x) 1.25% per annum in the case of term benchmark and RFR loans and (y) 0.25% per annum in the case of base rate loans when average quarterly availability is greater than or equal to 50% of the total commitments and (B) (x) 1.50% per annum in the case of term benchmark and RFR loans and (y) 0.50% per annum in the case of base rate loans when average quarterly availability is less than 50% of the total commitments. The 2025 amendment also reduced the unused commitment fee to (A) 0.25% per annum when the average amount utilized is less than 50% of the total commitment and (B) 0.20% per annum when the average amount utilized is greater than or equal to 50% of the total commitment. The facility was arranged by JPMorgan Chase Bank, N.A. The credit agreement, as amended by the 2025 amendment, matures March 12, 2030.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borrowings under the credit agreement were outstanding at January 31, 2026. Letters of credit totaling $25.3 million were issued under the credit agreement leaving unutilized availability under the facility of $774.7 million at January 31, 2026. The Company had no borrowings during fiscal 2025,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Long-term Debt</w:t>
      </w:r>
      <w:r>
        <w:rPr>
          <w:rFonts w:ascii="Times New Roman;Times;serif" w:hAnsi="Times New Roman;Times;serif"/>
          <w:sz w:val="20"/>
        </w:rPr>
        <w:t>.   At January 31, 2026, the Company had $321.7 million of long-term debt, including current portion, comprised of unsecured notes. The unsecured notes bear interest at rates ranging from 7.000% to 7.750% with due dates from fiscal 2026 through fiscal 2028.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Long-term debt maturities over the next five years are (in millions):</w:t>
      </w:r>
    </w:p>
    <w:tbl>
      <w:tblPr>
        <w:tblW w:w="2657" w:type="dxa"/>
        <w:jc w:val="left"/>
        <w:tblInd w:w="0" w:type="dxa"/>
        <w:tblLayout w:type="fixed"/>
        <w:tblCellMar>
          <w:top w:w="0" w:type="dxa"/>
          <w:left w:w="0" w:type="dxa"/>
          <w:bottom w:w="0" w:type="dxa"/>
          <w:right w:w="0" w:type="dxa"/>
        </w:tblCellMar>
      </w:tblPr>
      <w:tblGrid>
        <w:gridCol w:w="946"/>
        <w:gridCol w:w="346"/>
        <w:gridCol w:w="348"/>
        <w:gridCol w:w="1017"/>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00710" cy="175260"/>
                      <wp:effectExtent l="0" t="0" r="0" b="0"/>
                      <wp:wrapNone/>
                      <wp:docPr id="188" name="Frame18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20980" cy="175260"/>
                      <wp:effectExtent l="0" t="0" r="0" b="0"/>
                      <wp:wrapNone/>
                      <wp:docPr id="190" name="Frame189"/>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5795" cy="175260"/>
                      <wp:effectExtent l="0" t="0" r="0" b="0"/>
                      <wp:wrapNone/>
                      <wp:docPr id="191" name="Frame190"/>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w:t>
            </w:r>
          </w:p>
        </w:tc>
        <w:tc>
          <w:tcPr>
            <w:tcW w:w="346" w:type="dxa"/>
            <w:tcBorders/>
            <w:vAlign w:val="center"/>
          </w:tcPr>
          <w:p>
            <w:pPr>
              <w:pStyle w:val="TableContents"/>
              <w:bidi w:val="0"/>
              <w:spacing w:before="0" w:after="0"/>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Long-Term Debt</w:t>
              <w:br/>
              <w:t>Maturities</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pPr>
            <w:r>
              <w:rPr/>
              <w:t>—</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2026, the Company expects to accrue interest expense of $19.7 million on its long-term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Subordinated Debentures</w:t>
      </w:r>
      <w:r>
        <w:rPr>
          <w:rFonts w:ascii="Times New Roman;Times;serif" w:hAnsi="Times New Roman;Times;serif"/>
          <w:sz w:val="20"/>
        </w:rPr>
        <w:t>.   As of January 31, 2026, the Company had $200 million outstanding of its 7.5% subordinated debentures due August 1, 2038. All of these subordinated debentures were held by Dillard’s Capital Trust I, a 100% owned, unconsolidated finance subsidiary of the Company. The Company has the right to defer the payment of interest on the subordinated debentures at any time for a period not to exceed 20 consecutive quarters; however, the Company has no present intention of exercising this right to defer interest payments.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2026, the Company expects to accrue interest expense of $15.0 million on its subordinated debentures.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Dividends</w:t>
      </w:r>
      <w:r>
        <w:rPr>
          <w:rFonts w:ascii="Times New Roman;Times;serif" w:hAnsi="Times New Roman;Times;serif"/>
          <w:sz w:val="20"/>
        </w:rPr>
        <w:t>. During fiscal 2025 and 2024, in addition to our typical quarterly dividends, the Board of Directors declared a special dividend of $30.00 per share and $25.00 per share, respectively, that was paid on the Class A Common Stock and Class B Common Stock of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Outlook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expects to finance its operations in the short-term and the long-term from cash on hand, cash flows generated from operations and, if necessary, utilization of our revolving credit facility. Depending upon our actual and anticipated sources and uses of liquidity, the Company will from time to time consider other possible financing transactions, the proceeds of which could be used to fund working capital or for other corporate purposes.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OFF-BALANCE-SHEET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not created, and is not party to, any special-purpose entities or off-balance-sheet arrangements for the purpose of raising capital, incurring debt or operating the Company’s business. The Company does not have any off-balance-sheet arrangements or relationships that are reasonably likely to materially affect the Company’s financial condition, changes in financial condition, revenues or expenses, results of operations, liquidity, capital expenditures or the availability of capital resources.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COMMERCIAL COMMITMENTS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 OF COMMITMENT EXPIRATION PER PERIOD</w:t>
      </w:r>
    </w:p>
    <w:tbl>
      <w:tblPr>
        <w:tblW w:w="10205" w:type="dxa"/>
        <w:jc w:val="left"/>
        <w:tblInd w:w="0" w:type="dxa"/>
        <w:tblLayout w:type="fixed"/>
        <w:tblCellMar>
          <w:top w:w="0" w:type="dxa"/>
          <w:left w:w="0" w:type="dxa"/>
          <w:bottom w:w="0" w:type="dxa"/>
          <w:right w:w="0" w:type="dxa"/>
        </w:tblCellMar>
      </w:tblPr>
      <w:tblGrid>
        <w:gridCol w:w="3812"/>
        <w:gridCol w:w="346"/>
        <w:gridCol w:w="279"/>
        <w:gridCol w:w="888"/>
        <w:gridCol w:w="346"/>
        <w:gridCol w:w="260"/>
        <w:gridCol w:w="835"/>
        <w:gridCol w:w="346"/>
        <w:gridCol w:w="286"/>
        <w:gridCol w:w="575"/>
        <w:gridCol w:w="346"/>
        <w:gridCol w:w="324"/>
        <w:gridCol w:w="536"/>
        <w:gridCol w:w="346"/>
        <w:gridCol w:w="215"/>
        <w:gridCol w:w="465"/>
      </w:tblGrid>
      <w:tr>
        <w:trPr/>
        <w:tc>
          <w:tcPr>
            <w:tcW w:w="3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420620" cy="175260"/>
                      <wp:effectExtent l="0" t="0" r="0" b="0"/>
                      <wp:wrapNone/>
                      <wp:docPr id="192" name="Frame191"/>
                      <a:graphic xmlns:a="http://schemas.openxmlformats.org/drawingml/2006/main">
                        <a:graphicData uri="http://schemas.microsoft.com/office/word/2010/wordprocessingShape">
                          <wps:wsp>
                            <wps:cNvSpPr txBox="1"/>
                            <wps:spPr>
                              <a:xfrm>
                                <a:off x="0" y="0"/>
                                <a:ext cx="2420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7165" cy="175260"/>
                      <wp:effectExtent l="0" t="0" r="0" b="0"/>
                      <wp:wrapNone/>
                      <wp:docPr id="194" name="Frame19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63880" cy="175260"/>
                      <wp:effectExtent l="0" t="0" r="0" b="0"/>
                      <wp:wrapNone/>
                      <wp:docPr id="195" name="Frame194"/>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5100" cy="175260"/>
                      <wp:effectExtent l="0" t="0" r="0" b="0"/>
                      <wp:wrapNone/>
                      <wp:docPr id="197" name="Frame19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30225" cy="175260"/>
                      <wp:effectExtent l="0" t="0" r="0" b="0"/>
                      <wp:wrapNone/>
                      <wp:docPr id="198" name="Frame197"/>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1610" cy="175260"/>
                      <wp:effectExtent l="0" t="0" r="0" b="0"/>
                      <wp:wrapNone/>
                      <wp:docPr id="200" name="Frame19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65125" cy="175260"/>
                      <wp:effectExtent l="0" t="0" r="0" b="0"/>
                      <wp:wrapNone/>
                      <wp:docPr id="201" name="Frame200"/>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5740" cy="175260"/>
                      <wp:effectExtent l="0" t="0" r="0" b="0"/>
                      <wp:wrapNone/>
                      <wp:docPr id="203" name="Frame202"/>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40360" cy="175260"/>
                      <wp:effectExtent l="0" t="0" r="0" b="0"/>
                      <wp:wrapNone/>
                      <wp:docPr id="204" name="Frame203"/>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6525" cy="175260"/>
                      <wp:effectExtent l="0" t="0" r="0" b="0"/>
                      <wp:wrapNone/>
                      <wp:docPr id="206" name="Frame20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95275" cy="175260"/>
                      <wp:effectExtent l="0" t="0" r="0" b="0"/>
                      <wp:wrapNone/>
                      <wp:docPr id="207" name="Frame206"/>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1"/>
              <w:ind w:left="0" w:right="0" w:hanging="0"/>
              <w:jc w:val="left"/>
              <w:rPr/>
            </w:pPr>
            <w:r>
              <w:rPr/>
              <w:t>  ​ ​ ​</w:t>
            </w:r>
          </w:p>
        </w:tc>
        <w:tc>
          <w:tcPr>
            <w:tcW w:w="11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Amounts</w:t>
            </w:r>
          </w:p>
        </w:tc>
        <w:tc>
          <w:tcPr>
            <w:tcW w:w="346" w:type="dxa"/>
            <w:tcBorders/>
            <w:vAlign w:val="center"/>
          </w:tcPr>
          <w:p>
            <w:pPr>
              <w:pStyle w:val="TableContents"/>
              <w:bidi w:val="0"/>
              <w:spacing w:before="0" w:after="1"/>
              <w:ind w:left="0" w:right="0" w:hanging="0"/>
              <w:jc w:val="left"/>
              <w:rPr/>
            </w:pPr>
            <w:r>
              <w:rPr/>
              <w:t>  ​ ​ ​</w:t>
            </w:r>
          </w:p>
        </w:tc>
        <w:tc>
          <w:tcPr>
            <w:tcW w:w="260" w:type="dxa"/>
            <w:tcBorders/>
            <w:vAlign w:val="center"/>
          </w:tcPr>
          <w:p>
            <w:pPr>
              <w:pStyle w:val="TableContents"/>
              <w:bidi w:val="0"/>
              <w:spacing w:before="0" w:after="1"/>
              <w:ind w:left="0" w:right="0" w:hanging="0"/>
              <w:jc w:val="center"/>
              <w:rPr/>
            </w:pPr>
            <w:r>
              <w:rPr/>
              <w:t>​</w:t>
            </w:r>
          </w:p>
        </w:tc>
        <w:tc>
          <w:tcPr>
            <w:tcW w:w="8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86" w:type="dxa"/>
            <w:tcBorders/>
            <w:vAlign w:val="center"/>
          </w:tcPr>
          <w:p>
            <w:pPr>
              <w:pStyle w:val="TableContents"/>
              <w:bidi w:val="0"/>
              <w:spacing w:before="0" w:after="1"/>
              <w:ind w:left="0" w:right="0" w:hanging="0"/>
              <w:jc w:val="center"/>
              <w:rPr/>
            </w:pPr>
            <w:r>
              <w:rPr/>
              <w:t>​</w:t>
            </w:r>
          </w:p>
        </w:tc>
        <w:tc>
          <w:tcPr>
            <w:tcW w:w="5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24" w:type="dxa"/>
            <w:tcBorders/>
            <w:vAlign w:val="center"/>
          </w:tcPr>
          <w:p>
            <w:pPr>
              <w:pStyle w:val="TableContents"/>
              <w:bidi w:val="0"/>
              <w:spacing w:before="0" w:after="1"/>
              <w:ind w:left="0" w:right="0" w:hanging="0"/>
              <w:jc w:val="center"/>
              <w:rPr/>
            </w:pPr>
            <w:r>
              <w:rPr/>
              <w:t>​</w:t>
            </w:r>
          </w:p>
        </w:tc>
        <w:tc>
          <w:tcPr>
            <w:tcW w:w="5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After</w:t>
            </w:r>
          </w:p>
        </w:tc>
      </w:tr>
      <w:tr>
        <w:trPr/>
        <w:tc>
          <w:tcPr>
            <w:tcW w:w="381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Commercial Commitments</w:t>
            </w:r>
          </w:p>
        </w:tc>
        <w:tc>
          <w:tcPr>
            <w:tcW w:w="346" w:type="dxa"/>
            <w:tcBorders/>
            <w:vAlign w:val="center"/>
          </w:tcPr>
          <w:p>
            <w:pPr>
              <w:pStyle w:val="TableContents"/>
              <w:bidi w:val="0"/>
              <w:spacing w:before="0" w:after="1"/>
              <w:ind w:left="0" w:right="0" w:hanging="0"/>
              <w:jc w:val="left"/>
              <w:rPr/>
            </w:pPr>
            <w:r>
              <w:rPr/>
              <w:t>​</w:t>
            </w:r>
          </w:p>
        </w:tc>
        <w:tc>
          <w:tcPr>
            <w:tcW w:w="11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Committed</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Within 1 year</w:t>
            </w:r>
          </w:p>
        </w:tc>
        <w:tc>
          <w:tcPr>
            <w:tcW w:w="346" w:type="dxa"/>
            <w:tcBorders/>
            <w:vAlign w:val="center"/>
          </w:tcPr>
          <w:p>
            <w:pPr>
              <w:pStyle w:val="TableContents"/>
              <w:bidi w:val="0"/>
              <w:spacing w:before="0" w:after="1"/>
              <w:ind w:left="0" w:right="0" w:hanging="0"/>
              <w:jc w:val="left"/>
              <w:rPr/>
            </w:pPr>
            <w:r>
              <w:rPr/>
              <w:t>​</w:t>
            </w:r>
          </w:p>
        </w:tc>
        <w:tc>
          <w:tcPr>
            <w:tcW w:w="8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2 - 3 years</w:t>
            </w:r>
          </w:p>
        </w:tc>
        <w:tc>
          <w:tcPr>
            <w:tcW w:w="346" w:type="dxa"/>
            <w:tcBorders/>
            <w:vAlign w:val="center"/>
          </w:tcPr>
          <w:p>
            <w:pPr>
              <w:pStyle w:val="TableContents"/>
              <w:bidi w:val="0"/>
              <w:spacing w:before="0" w:after="1"/>
              <w:ind w:left="0" w:right="0" w:hanging="0"/>
              <w:jc w:val="left"/>
              <w:rPr/>
            </w:pPr>
            <w:r>
              <w:rPr/>
              <w:t>​</w:t>
            </w:r>
          </w:p>
        </w:tc>
        <w:tc>
          <w:tcPr>
            <w:tcW w:w="8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4 - 5 years</w:t>
            </w:r>
          </w:p>
        </w:tc>
        <w:tc>
          <w:tcPr>
            <w:tcW w:w="346" w:type="dxa"/>
            <w:tcBorders/>
            <w:vAlign w:val="center"/>
          </w:tcPr>
          <w:p>
            <w:pPr>
              <w:pStyle w:val="TableContents"/>
              <w:bidi w:val="0"/>
              <w:spacing w:before="0" w:after="1"/>
              <w:ind w:left="0" w:right="0" w:hanging="0"/>
              <w:jc w:val="left"/>
              <w:rPr/>
            </w:pPr>
            <w:r>
              <w:rPr/>
              <w:t>​</w:t>
            </w:r>
          </w:p>
        </w:tc>
        <w:tc>
          <w:tcPr>
            <w:tcW w:w="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r>
      <w:tr>
        <w:trPr/>
        <w:tc>
          <w:tcPr>
            <w:tcW w:w="381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$800 million line of credit, none outstanding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5" w:type="dxa"/>
            <w:tcBorders/>
            <w:shd w:fill="CCEEFF" w:val="clear"/>
            <w:vAlign w:val="center"/>
          </w:tcPr>
          <w:p>
            <w:pPr>
              <w:pStyle w:val="TableContents"/>
              <w:bidi w:val="0"/>
              <w:spacing w:before="0" w:after="1"/>
              <w:ind w:left="0" w:right="0" w:hanging="0"/>
              <w:jc w:val="right"/>
              <w:rPr/>
            </w:pPr>
            <w:r>
              <w:rPr/>
              <w:t>—</w:t>
            </w:r>
          </w:p>
        </w:tc>
      </w:tr>
      <w:tr>
        <w:trPr/>
        <w:tc>
          <w:tcPr>
            <w:tcW w:w="38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Standby letters of credit</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25,275</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24,975</w:t>
            </w:r>
          </w:p>
        </w:tc>
        <w:tc>
          <w:tcPr>
            <w:tcW w:w="3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 </w:t>
            </w:r>
          </w:p>
        </w:tc>
        <w:tc>
          <w:tcPr>
            <w:tcW w:w="5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465" w:type="dxa"/>
            <w:tcBorders/>
            <w:vAlign w:val="center"/>
          </w:tcPr>
          <w:p>
            <w:pPr>
              <w:pStyle w:val="TableContents"/>
              <w:bidi w:val="0"/>
              <w:spacing w:before="0" w:after="1"/>
              <w:ind w:left="0" w:right="0" w:hanging="0"/>
              <w:jc w:val="right"/>
              <w:rPr/>
            </w:pPr>
            <w:r>
              <w:rPr/>
              <w:t>—</w:t>
            </w:r>
          </w:p>
        </w:tc>
      </w:tr>
      <w:tr>
        <w:trPr/>
        <w:tc>
          <w:tcPr>
            <w:tcW w:w="38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Import letters of credit</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commercial commitments</w:t>
            </w:r>
          </w:p>
        </w:tc>
        <w:tc>
          <w:tcPr>
            <w:tcW w:w="346" w:type="dxa"/>
            <w:tcBorders/>
            <w:vAlign w:val="center"/>
          </w:tcPr>
          <w:p>
            <w:pPr>
              <w:pStyle w:val="TableContents"/>
              <w:bidi w:val="0"/>
              <w:spacing w:before="0" w:after="1"/>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25,275</w:t>
            </w:r>
          </w:p>
        </w:tc>
        <w:tc>
          <w:tcPr>
            <w:tcW w:w="346"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24,975</w:t>
            </w:r>
          </w:p>
        </w:tc>
        <w:tc>
          <w:tcPr>
            <w:tcW w:w="346" w:type="dxa"/>
            <w:tcBorders/>
            <w:vAlign w:val="center"/>
          </w:tcPr>
          <w:p>
            <w:pPr>
              <w:pStyle w:val="TableContents"/>
              <w:bidi w:val="0"/>
              <w:spacing w:before="0" w:after="1"/>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5"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tbl>
      <w:tblPr>
        <w:tblW w:w="8616" w:type="dxa"/>
        <w:jc w:val="left"/>
        <w:tblInd w:w="0" w:type="dxa"/>
        <w:tblLayout w:type="fixed"/>
        <w:tblCellMar>
          <w:top w:w="28" w:type="dxa"/>
          <w:left w:w="28" w:type="dxa"/>
          <w:bottom w:w="28" w:type="dxa"/>
          <w:right w:w="28" w:type="dxa"/>
        </w:tblCellMar>
      </w:tblPr>
      <w:tblGrid>
        <w:gridCol w:w="124"/>
        <w:gridCol w:w="331"/>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January 31, 2026, letters of credit totaling $25.3 million were issued under the credit agreement.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NEW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information with respect to new accounting pronouncements and the impact of these pronouncements on our consolidated financial statements, see Note 1 in the “Notes to Consolidated Financial Statements” in Item 8 hereof.</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This report contains certain forward-looking statements. The following are or may constitute forward-looking statements within the meaning of the Private Securities Litigation Reform Act of 1995: (a) statements including words such as “may,” “will,” “could,” “should,” “believe,” “expect,” “future,” “potential,” “anticipate,” “intend,” “plan,” “estimate,” “continue,” or the negative or other variations thereof; (b) statements regarding matters that are not historical facts; and (c) statements about the Company’s future occurrences, plans and objectives, including those statements included under the heading “Outlook” included in this Management’s Discussion and Analysis and other statements regarding management’s expectations and forecasts for the remainder of fiscal 2026 and beyond, statements regarding future income and cash flows from the Citibank Alliance, statements concerning the opening of new stores or the closing of existing stores, statements concerning capital expenditures and sources of liquidity, statements concerning share repurchases, statements concerning pension contributions, statements concerning changes in loss trends, settlements and other costs related to our self-insurance programs, statements concerning expectations regarding the payment of dividends, statements regarding the impacts of inflation, wages, trade restrictions, including tariffs, and the effectiveness of our ongoing initiatives to manage such costs, statements regarding expense management and statements concerning estimated taxes. The Company cautions that forward-looking statements contained in this report are based on estimates, projections, beliefs and assumptions of management and information available to management at the time of such statements and are not guarantees of future performance. The Company disclaims any obligation to update or revise any forward-looking statements based on the occurrence of future events, the receipt of new information or otherwise. Forward-looking statements of the Company involve risks and uncertainties and are subject to change based on various important factors. Actual future performance, outcomes and results may differ materially from those expressed in forward-looking statements made by the Company and its management as a result of a number of risks, uncertainties and assumptions. Representative examples of those factors include (without limitation) general retail industry conditions and macro-economic conditions including inflation, economic recession and changes in traffic at malls and shopping centers; economic and weather conditions for regions in which the Company’s stores are located and the effect of these factors on the buying patterns of the Company’s customers, including the effect of changes in prices and availability of oil and natural gas; the availability of and interest rates on consumer credit; the impact of competitive pressures in the department store industry and other retail channels including specialty, off-price, discount and Internet retailers; changes in the Company’s ability to meet labor needs amid nationwide labor shortages and an intense competition for talent; changes in consumer spending patterns, debt levels and their ability to meet credit obligations; high levels of unemployment; changes in tax legislation; trade disputes and changes in trade policies including the imposition (or threat) of new or increased duties, taxes, tariffs and other charges impacting our products or supply chain; changes in legislation and governmental regulations; adequate and stable availability and pricing of materials, production facilities and labor from which the Company sources its merchandise; changes in operating expenses, including employee wages, commission structures and related benefits; system failures or data security breaches; inability to effectively utilize advancements in technology, including artificial intelligence; possible future acquisitions of store properties from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department store operators; the continued availability of financing in amounts and at the terms necessary to support the Company’s future business; fluctuations in SOFR and other base borrowing rates; potential disruption from terrorist activity and the effect on ongoing consumer confidence; epidemic, pandemic or public health issues and their effects on public health, our supply chain, the health and well-being of our employees and customers and the retail industry in general; potential disruption of international trade and supply chain efficiencies; global conflicts (including the ongoing conflicts in the Middle East and Ukraine) and the possible impact on consumer spending patterns and other economic and demographic changes of similar or dissimilar nature, and other risks and uncertainties, including those detailed from time to time in our periodic reports filed with the Securities and Exchange Commission particularly those set forth under the caption “Item 1A, Risk Factors” in this Annual Report on Form 10-K.</w:t>
      </w:r>
    </w:p>
    <w:p>
      <w:pPr>
        <w:pStyle w:val="TextBody"/>
        <w:bidi w:val="0"/>
        <w:spacing w:before="0" w:after="240"/>
        <w:ind w:left="0" w:right="0" w:hanging="0"/>
        <w:jc w:val="left"/>
        <w:rPr>
          <w:rFonts w:ascii="Times New Roman;Times;serif" w:hAnsi="Times New Roman;Times;serif"/>
          <w:b/>
          <w:sz w:val="20"/>
        </w:rPr>
      </w:pPr>
      <w:bookmarkStart w:id="77" w:name="ITEM7AQUANTITATIVEANDQUALITATIVEDISCLOSU"/>
      <w:bookmarkStart w:id="78" w:name="_07e7e7d0_1868_4e13_b05a_1c180d27ff11"/>
      <w:bookmarkEnd w:id="77"/>
      <w:bookmarkEnd w:id="78"/>
      <w:r>
        <w:rPr>
          <w:rFonts w:ascii="Times New Roman;Times;serif" w:hAnsi="Times New Roman;Times;serif"/>
          <w:b/>
          <w:sz w:val="20"/>
        </w:rPr>
        <w:t>ITEM 7A.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disclosure below provides information about the Company’s obligations that are sensitive to changes in interest rates. The table presents maturities of the Company’s long-term debt and subordinated debentures along with the related weighted-average interest rates by expected maturity dates.</w:t>
      </w:r>
    </w:p>
    <w:tbl>
      <w:tblPr>
        <w:tblW w:w="10990" w:type="dxa"/>
        <w:jc w:val="left"/>
        <w:tblInd w:w="0" w:type="dxa"/>
        <w:tblLayout w:type="fixed"/>
        <w:tblCellMar>
          <w:top w:w="0" w:type="dxa"/>
          <w:left w:w="0" w:type="dxa"/>
          <w:bottom w:w="0" w:type="dxa"/>
          <w:right w:w="0" w:type="dxa"/>
        </w:tblCellMar>
      </w:tblPr>
      <w:tblGrid>
        <w:gridCol w:w="1216"/>
        <w:gridCol w:w="346"/>
        <w:gridCol w:w="211"/>
        <w:gridCol w:w="676"/>
        <w:gridCol w:w="361"/>
        <w:gridCol w:w="211"/>
        <w:gridCol w:w="676"/>
        <w:gridCol w:w="361"/>
        <w:gridCol w:w="211"/>
        <w:gridCol w:w="781"/>
        <w:gridCol w:w="361"/>
        <w:gridCol w:w="211"/>
        <w:gridCol w:w="346"/>
        <w:gridCol w:w="361"/>
        <w:gridCol w:w="211"/>
        <w:gridCol w:w="346"/>
        <w:gridCol w:w="361"/>
        <w:gridCol w:w="211"/>
        <w:gridCol w:w="781"/>
        <w:gridCol w:w="361"/>
        <w:gridCol w:w="211"/>
        <w:gridCol w:w="781"/>
        <w:gridCol w:w="361"/>
        <w:gridCol w:w="211"/>
        <w:gridCol w:w="82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72160" cy="175260"/>
                      <wp:effectExtent l="0" t="0" r="0" b="0"/>
                      <wp:wrapNone/>
                      <wp:docPr id="208" name="Frame20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29260" cy="175260"/>
                      <wp:effectExtent l="0" t="0" r="0" b="0"/>
                      <wp:wrapNone/>
                      <wp:docPr id="211" name="Frame2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9235" cy="175260"/>
                      <wp:effectExtent l="0" t="0" r="0" b="0"/>
                      <wp:wrapNone/>
                      <wp:docPr id="212" name="Frame21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4" name="Frame2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9235" cy="175260"/>
                      <wp:effectExtent l="0" t="0" r="0" b="0"/>
                      <wp:wrapNone/>
                      <wp:docPr id="215" name="Frame2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95935" cy="175260"/>
                      <wp:effectExtent l="0" t="0" r="0" b="0"/>
                      <wp:wrapNone/>
                      <wp:docPr id="217" name="Frame2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29235" cy="175260"/>
                      <wp:effectExtent l="0" t="0" r="0" b="0"/>
                      <wp:wrapNone/>
                      <wp:docPr id="218" name="Frame2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9235" cy="175260"/>
                      <wp:effectExtent l="0" t="0" r="0" b="0"/>
                      <wp:wrapNone/>
                      <wp:docPr id="221" name="Frame2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9235" cy="175260"/>
                      <wp:effectExtent l="0" t="0" r="0" b="0"/>
                      <wp:wrapNone/>
                      <wp:docPr id="224" name="Frame2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95935" cy="175260"/>
                      <wp:effectExtent l="0" t="0" r="0" b="0"/>
                      <wp:wrapNone/>
                      <wp:docPr id="226" name="Frame2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9235" cy="175260"/>
                      <wp:effectExtent l="0" t="0" r="0" b="0"/>
                      <wp:wrapNone/>
                      <wp:docPr id="227" name="Frame22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95935" cy="175260"/>
                      <wp:effectExtent l="0" t="0" r="0" b="0"/>
                      <wp:wrapNone/>
                      <wp:docPr id="229" name="Frame2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9235" cy="175260"/>
                      <wp:effectExtent l="0" t="0" r="0" b="0"/>
                      <wp:wrapNone/>
                      <wp:docPr id="230" name="Frame22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24510" cy="175260"/>
                      <wp:effectExtent l="0" t="0" r="0" b="0"/>
                      <wp:wrapNone/>
                      <wp:docPr id="232" name="Frame2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038" w:type="dxa"/>
            <w:gridSpan w:val="1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Expected Maturity Date</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038"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61"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61" w:type="dxa"/>
            <w:tcBorders/>
            <w:vAlign w:val="center"/>
          </w:tcPr>
          <w:p>
            <w:pPr>
              <w:pStyle w:val="TableContents"/>
              <w:bidi w:val="0"/>
              <w:spacing w:before="0" w:after="0"/>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61" w:type="dxa"/>
            <w:tcBorders/>
            <w:vAlign w:val="center"/>
          </w:tcPr>
          <w:p>
            <w:pPr>
              <w:pStyle w:val="TableContents"/>
              <w:bidi w:val="0"/>
              <w:spacing w:before="0" w:after="0"/>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361"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61"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61"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145,825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321,825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336,112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fixed interest rate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debentures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208,880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interest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The Company is exposed to market risk from changes in the interest rates under its $800 million revolving credit agreement. </w:t>
      </w:r>
      <w:r>
        <w:rPr>
          <w:rFonts w:ascii="Times New Roman;Times;serif" w:hAnsi="Times New Roman;Times;serif"/>
          <w:sz w:val="20"/>
        </w:rPr>
        <w:t>The credit agreement, which is</w:t>
      </w:r>
      <w:r>
        <w:rPr>
          <w:rFonts w:ascii="Times New Roman;Times;serif" w:hAnsi="Times New Roman;Times;serif"/>
          <w:sz w:val="20"/>
          <w:shd w:fill="FFFFFF" w:val="clear"/>
        </w:rPr>
        <w:t xml:space="preserve"> secured by certain deposit accounts of the Company and certain inventory of certain subsidiaries,</w:t>
      </w:r>
      <w:r>
        <w:rPr>
          <w:rFonts w:ascii="Times New Roman;Times;serif" w:hAnsi="Times New Roman;Times;serif"/>
          <w:sz w:val="20"/>
        </w:rPr>
        <w:t xml:space="preserve"> provides a borrowing capacity of $800 million, subject to certain limitations as outlined in the credit agreement, with a $200 million expansion option. The Company pays a variable rate of interest on borrowings under the credit agreement and a commitment fee to the participating banks. There are no financial covenant requirements under the credit agreement provided availability exceeds $80 million and no specified event of default has occurred or is continuing.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2023, the Company amended the credit agreement (the "2023 amendment") to reflect the changes necessary for the phaseout of LIBOR. Pursuant to the 2023 amendment, borrowings under the credit agreement bore interest, at our option, at a rate per annum equal to (1) the then alternative base rate plus the applicable rate or (2) adjusted term or daily simple SOFR, in each case plus 0.10% per annum, plus the applicable rate. The applicable rate was defined as (A) (x) 1.50% per annum in the case of term benchmark and RFR loans and (y) 0.50% per annum in the case of base rate loans when average quarterly availability is greater than or equal to 50% of the total commitments and (B) (x) 1.75% per annum in the case of term benchmark and RFR loans and (y) 0.75% per annum in the case of base rate loans when average quarterly availability is less than 50% of the total commitments. The commitment fee for unused borrowings was 0.30% per annum if average borrowings were less than 35% of the total commitments and 0.25% per annum if average borrowings were greater than or equal to 35% of the total commitments. The credit agreement, as amended by the 2023 amendment, was scheduled to mature on April 28, 2026.</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March 2025, the Company amended and extended its revolving credit facility (the "2025 amendment") replacing the Company's previous amended credit agreement. The 2025 amendment continues to have the 0.10% per annum credit spread adjustment to the interest rate for term benchmark and RFR loans but reduced the applicable rate to (A) (x) 1.25% per annum in the case of term benchmark and RFR loans and (y) 0.25% per annum in the case of base rate loans when average quarterly availability is greater than or equal to 50% of the total commitments and (B) (x) 1.50% per annum in the case of term benchmark and RFR loans and (y) 0.50% per annum in the case of base rate loans when average quarterly availability is less than 50% of the total commitments. The 2025 amendment also reduced the unused commitment fee to (A) 0.25% per annum when the average amount utilized is less than 50% of the total commitment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and (B) 0.20% per annum when the average amount utilized is greater than or equal to 50% of the total commitment. The facility was arranged by JPMorgan Chase Bank, N.A. The credit agreement, as amended by the 2025 amendment, matures March 12, 2030. </w:t>
      </w:r>
    </w:p>
    <w:p>
      <w:pPr>
        <w:pStyle w:val="TextBody"/>
        <w:bidi w:val="0"/>
        <w:spacing w:before="0" w:after="240"/>
        <w:ind w:left="0" w:right="0" w:hanging="0"/>
        <w:jc w:val="left"/>
        <w:rPr>
          <w:rFonts w:ascii="Times New Roman;Times;serif" w:hAnsi="Times New Roman;Times;serif"/>
          <w:b/>
          <w:sz w:val="20"/>
        </w:rPr>
      </w:pPr>
      <w:bookmarkStart w:id="79" w:name="ITEM8FINANCIALSTATEMENTSANDSUPPLEMENTARY"/>
      <w:bookmarkStart w:id="80" w:name="_7f7a8cdc_1af3_4857_b88c_1e5b0534b805"/>
      <w:bookmarkEnd w:id="79"/>
      <w:bookmarkEnd w:id="80"/>
      <w:r>
        <w:rPr>
          <w:rFonts w:ascii="Times New Roman;Times;serif" w:hAnsi="Times New Roman;Times;serif"/>
          <w:b/>
          <w:sz w:val="20"/>
        </w:rPr>
        <w:t>ITEM 8.   FINANCIAL STATEMENTS AND SUPPLEMENTARY DATA</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consolidated financial statements of the Company and notes thereto required by this item are included in this report beginning on page F-1, which immediately follows the signature page to this report, and are incorporated herein by reference.</w:t>
      </w:r>
    </w:p>
    <w:p>
      <w:pPr>
        <w:pStyle w:val="TextBody"/>
        <w:bidi w:val="0"/>
        <w:spacing w:before="0" w:after="240"/>
        <w:ind w:left="0" w:right="0" w:hanging="0"/>
        <w:jc w:val="left"/>
        <w:rPr>
          <w:rFonts w:ascii="Times New Roman;Times;serif" w:hAnsi="Times New Roman;Times;serif"/>
          <w:b/>
          <w:sz w:val="20"/>
        </w:rPr>
      </w:pPr>
      <w:bookmarkStart w:id="81" w:name="ITEM9CHANGESINANDDISAGREEMENTSWITHACCOUN"/>
      <w:bookmarkStart w:id="82" w:name="_85e08853_92ff_4608_99bb_c2bd985090e3"/>
      <w:bookmarkEnd w:id="81"/>
      <w:bookmarkEnd w:id="82"/>
      <w:r>
        <w:rPr>
          <w:rFonts w:ascii="Times New Roman;Times;serif" w:hAnsi="Times New Roman;Times;serif"/>
          <w:b/>
          <w:sz w:val="20"/>
        </w:rPr>
        <w:t>ITEM 9.   CHANGES IN AND DISAGREEMENTS WITH ACCOUNTANTS ON ACCOUNTING AND FINANCIAL DISCLOSURE</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3" w:name="ITEM9ACONTROLSANDPROCEDURES_174528"/>
      <w:bookmarkStart w:id="84" w:name="_cc7e3ece_e909_481c_892d_29a37dceeaac"/>
      <w:bookmarkEnd w:id="83"/>
      <w:bookmarkEnd w:id="84"/>
      <w:r>
        <w:rPr>
          <w:rFonts w:ascii="Times New Roman;Times;serif" w:hAnsi="Times New Roman;Times;serif"/>
          <w:b/>
          <w:sz w:val="20"/>
        </w:rPr>
        <w:t>ITEM 9A.   CONTROLS AND PROCEDURES</w:t>
      </w:r>
      <w:r>
        <w:rPr>
          <w:rFonts w:ascii="Times New Roman;Times;serif" w:hAnsi="Times New Roman;Times;serif"/>
          <w:b w:val="false"/>
          <w:sz w:val="20"/>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established and maintains disclosure controls and procedures (as defined in Rule 13a-15(e) under the Exchange Act). The Company’s management, with the participation of our Principal Executive Officer and Co-Principal Financial Officers, has evaluated the effectiveness of the Company’s disclosure controls and procedures as of the end of the fiscal year covered by this annual report, and based on that evaluation, the Company’s Principal Executive Officer and Co-Principal Financial Officers have concluded that these disclosure controls and procedures were effective.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Management’s Report on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Co-Principal Financial Officers, we conducted an evaluation of the effectiveness of our internal control over financial reporting based on the framework in </w:t>
      </w:r>
      <w:r>
        <w:rPr>
          <w:rFonts w:ascii="Times New Roman;Times;serif" w:hAnsi="Times New Roman;Times;serif"/>
          <w:i/>
          <w:sz w:val="20"/>
        </w:rPr>
        <w:t xml:space="preserve">2013 Internal Control - Integrated Framework </w:t>
      </w:r>
      <w:r>
        <w:rPr>
          <w:rFonts w:ascii="Times New Roman;Times;serif" w:hAnsi="Times New Roman;Times;serif"/>
          <w:sz w:val="20"/>
        </w:rPr>
        <w:t xml:space="preserve">issued by the Committee of Sponsoring Organizations of the Treadway Commission. Based on our evaluation under the framework in </w:t>
      </w:r>
      <w:r>
        <w:rPr>
          <w:rFonts w:ascii="Times New Roman;Times;serif" w:hAnsi="Times New Roman;Times;serif"/>
          <w:i/>
          <w:sz w:val="20"/>
        </w:rPr>
        <w:t>2013 Internal Control - Integrated Framework</w:t>
      </w:r>
      <w:r>
        <w:rPr>
          <w:rFonts w:ascii="Times New Roman;Times;serif" w:hAnsi="Times New Roman;Times;serif"/>
          <w:sz w:val="20"/>
        </w:rPr>
        <w:t>, our management concluded that our internal control over financial reporting was effective as of January 31,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independent registered public accounting firm, KPMG LLP (“KPMG”), has audited our consolidated financial statements included in this Annual Report and has issued a report on the effectiveness of our internal control over financial reporting as of January 31, 2026. Please refer to KPMG’s “Report of Independent Registered Public Accounting Firm” on page F-2 of this Annual Report.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three months ended January 31, 2026 that have materially affected, or are reasonably likely to materially affect, our internal control over financial reporting.</w:t>
      </w:r>
    </w:p>
    <w:p>
      <w:pPr>
        <w:pStyle w:val="TextBody"/>
        <w:pBdr/>
        <w:bidi w:val="0"/>
        <w:spacing w:before="0" w:after="0"/>
        <w:ind w:left="0" w:right="0" w:hanging="0"/>
        <w:jc w:val="left"/>
        <w:rPr>
          <w:rFonts w:ascii="Times New Roman;Times;serif" w:hAnsi="Times New Roman;Times;serif"/>
          <w:b/>
          <w:sz w:val="20"/>
        </w:rPr>
      </w:pPr>
      <w:bookmarkStart w:id="85" w:name="ITEM9BOTHERINFORMATION_839188"/>
      <w:bookmarkStart w:id="86" w:name="_6ce591b2_b0ff_4dea_aad2_d0961a202d64"/>
      <w:bookmarkEnd w:id="85"/>
      <w:bookmarkEnd w:id="86"/>
      <w:r>
        <w:rPr>
          <w:rFonts w:ascii="Times New Roman;Times;serif" w:hAnsi="Times New Roman;Times;serif"/>
          <w:b/>
          <w:sz w:val="20"/>
        </w:rPr>
        <w:t>ITEM 9B.   OTHER INFORMATION</w:t>
      </w:r>
      <w:r>
        <w:rPr>
          <w:rFonts w:ascii="Times New Roman;Times;serif" w:hAnsi="Times New Roman;Times;serif"/>
          <w:b w:val="false"/>
          <w:sz w:val="20"/>
        </w:rPr>
        <w: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On March 25, 2026, Dillard’s, Inc., a Texas corporation (the “Company”), entered into Amendment No. 1 (the “Amendment”) to the Agreement and Plan of Merger, dated as of March 20, 2026 (the “Original Merger Agreement”, and as amended by the Amendment, the “Merger Agreement”), with W.D. Company, Inc., an Arkansas corporation (“WDC”). The material terms of the Original Merger Agreement were disclosed in a Current Report on Form 8-K filed by the Company with the Securities and Exchange Commission on March 20, 2026 (the “Merger 8-K’”), and a copy of the Original Merger Agreement was filed as Exhibit 2.1 to the Merger 8-K.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previously disclosed, the Merger Agreement contemplates a merger of WDC with and into the Company (the “Merger”), with the Company surviving the Merger. The Amendment provides that the Company and WDC will each pay fifty percent (50%) of the filing fee incurred in connection with the filing of the preliminary proxy statement relating to the Merger in accordance with Rules 0-11(c)(1) and 0-11(c)(3) promulgated under the Securities Exchange Act of 1934, as amended. All other terms of the Original Merger Agreement remain the same and in full force and effect</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foregoing description of the Amendment does not purport to be complete and is qualified in its entirety by reference to the full text of the Amendment, a copy of which is filed as Exhibit 2(c) hereto and is incorporated herein by reference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 During the three months ended January 31, 2026, none of the Company’s directors or officers (as defined in Rule 16a-1(f) under the Securities Exchange Act of 1934) adopted or terminated a Rule 10b5-1 trading arrangement or non-Rule 10b5-1 trading arrangement (as such terms are defined in Item 408 of Regulation S-K).</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87" w:name="ITEM9CDISCLOSUREREGARDINGFOREIGNJURISDIC"/>
      <w:bookmarkStart w:id="88" w:name="_d8674a87_48d4_44bf_b217_8e3b60e022bd"/>
      <w:bookmarkEnd w:id="87"/>
      <w:bookmarkEnd w:id="88"/>
      <w:r>
        <w:rPr>
          <w:rFonts w:ascii="Times New Roman;Times;serif" w:hAnsi="Times New Roman;Times;serif"/>
          <w:b/>
          <w:sz w:val="20"/>
        </w:rPr>
        <w:t>ITEM 9C.   DISCLOSURE REGARDING FOREIGN JURISDICTIONS THAT PREVENT INSPECTIONS</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9" w:name="PARTIII_230515"/>
      <w:bookmarkStart w:id="90" w:name="_5ba2227a_74ed_4e9b_a3eb_5d289d44257e"/>
      <w:bookmarkEnd w:id="89"/>
      <w:bookmarkEnd w:id="90"/>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1" w:name="ITEM10DIRECTORSEXECUTIVEOFFICERSANDCORPO"/>
      <w:bookmarkEnd w:id="91"/>
      <w:r>
        <w:rPr>
          <w:rFonts w:ascii="Times New Roman;Times;serif" w:hAnsi="Times New Roman;Times;serif"/>
          <w:b/>
          <w:sz w:val="20"/>
        </w:rPr>
        <w:t>ITEM 10.   DIRECTORS, EXECUTIVE OFFICERS AND CORPORATE GOVERNANCE</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called for by this item regarding directors of the Company is incorporated herein by reference from the information under the headings “Proposal No. 3. Election of Directors”, “Audit Committee Report”, and “Information Regarding the Board and Its Committees” in the Proxy Statement.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Information regarding executive officers of the Company is included in Part I of this report under the heading “Information About Our Executive Officers.”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Board of Directors (“Board”) has adopted a Code of Conduct that applies to all Company employees, including the Company’s executive officers, and, when appropriate, the members of the Board. As stated in the Code of Conduct, there are certain limited situations in which the Company may waive application of the Code of Conduct to employees or members of the Board. For example, since non-employee members of the Board rarely, if ever, deal financially with vendors and other suppliers of the Company on the Company’s behalf, it may not be appropriate to seek to apply the Code of Conduct to their dealings with these vendors and suppliers on behalf of other organizations which have no relationship to the Company. To the extent that any such waiver applies to an executive officer or a member of the Board, the waiver requires the express approval of the Board, and the Company intends to satisfy the disclosure requirements of Form 8-K regarding any such waiver from, or an amendment to, any provision of the Code of Conduct, by posting such waiver or amendment on the Company’s website. The current version of the Code of Conduct is available free of charge on the Company’s investor relations website, investor.dillards.com, and is available in print to any stockholder who requests copies by contacting Julie J. Guymon, Director of Investor Relations, at the Company’s corporate executive offices at 1600 Cantrell Road, Little Rock, AR 72201.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called for by this item regarding insider trading policies of the Company is incorporated herein by reference from the information under the heading “Information Regarding the Board and Its Committees” in the Proxy Statement.</w:t>
      </w:r>
    </w:p>
    <w:p>
      <w:pPr>
        <w:pStyle w:val="TextBody"/>
        <w:bidi w:val="0"/>
        <w:spacing w:before="0" w:after="240"/>
        <w:ind w:left="0" w:right="0" w:hanging="0"/>
        <w:jc w:val="left"/>
        <w:rPr>
          <w:rFonts w:ascii="Times New Roman;Times;serif" w:hAnsi="Times New Roman;Times;serif"/>
          <w:b/>
          <w:sz w:val="20"/>
        </w:rPr>
      </w:pPr>
      <w:bookmarkStart w:id="92" w:name="ITEM11EXECUTIVECOMPENSATION_662096"/>
      <w:bookmarkStart w:id="93" w:name="_f4322dc7_8b38_48f4_bbf6_9b2cb7b64218"/>
      <w:bookmarkEnd w:id="92"/>
      <w:bookmarkEnd w:id="93"/>
      <w:r>
        <w:rPr>
          <w:rFonts w:ascii="Times New Roman;Times;serif" w:hAnsi="Times New Roman;Times;serif"/>
          <w:b/>
          <w:sz w:val="20"/>
        </w:rPr>
        <w:t>ITEM 11.   EXECUTIVE COMPENSATION</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called for by this item is incorporated herein by reference from the information under the headings “2025 Director Compensation”, “Compensation Discussion and Analysis”, “Compensation Committee Report” and “Executive Compensation” in the Proxy Statement.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4" w:name="ITEM12SECURITYOWNERSHIPOFCERTAINBENEFICI"/>
      <w:bookmarkStart w:id="95" w:name="_cd276c5c_de15_4991_86a3_6f4bd794a4e3"/>
      <w:bookmarkEnd w:id="94"/>
      <w:bookmarkEnd w:id="95"/>
      <w:r>
        <w:rPr>
          <w:rFonts w:ascii="Times New Roman;Times;serif" w:hAnsi="Times New Roman;Times;serif"/>
          <w:b/>
          <w:sz w:val="20"/>
        </w:rPr>
        <w:t>ITEM 12.   SECURITY OWNERSHIP OF CERTAIN BENEFICIAL OWNERS AND MANAGEMENT AND RELATED STOCKHOLDER MATTERS</w:t>
      </w:r>
      <w:r>
        <w:rPr>
          <w:rFonts w:ascii="Times New Roman;Times;serif" w:hAnsi="Times New Roman;Times;serif"/>
          <w:b w:val="false"/>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Compensation Plan Information</w:t>
      </w:r>
    </w:p>
    <w:tbl>
      <w:tblPr>
        <w:tblW w:w="10205" w:type="dxa"/>
        <w:jc w:val="left"/>
        <w:tblInd w:w="0" w:type="dxa"/>
        <w:tblLayout w:type="fixed"/>
        <w:tblCellMar>
          <w:top w:w="0" w:type="dxa"/>
          <w:left w:w="0" w:type="dxa"/>
          <w:bottom w:w="0" w:type="dxa"/>
          <w:right w:w="0" w:type="dxa"/>
        </w:tblCellMar>
      </w:tblPr>
      <w:tblGrid>
        <w:gridCol w:w="4069"/>
        <w:gridCol w:w="346"/>
        <w:gridCol w:w="1782"/>
        <w:gridCol w:w="346"/>
        <w:gridCol w:w="569"/>
        <w:gridCol w:w="879"/>
        <w:gridCol w:w="346"/>
        <w:gridCol w:w="1868"/>
      </w:tblGrid>
      <w:tr>
        <w:trPr/>
        <w:tc>
          <w:tcPr>
            <w:tcW w:w="4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583815" cy="175260"/>
                      <wp:effectExtent l="0" t="0" r="0" b="0"/>
                      <wp:wrapNone/>
                      <wp:docPr id="233" name="Frame232"/>
                      <a:graphic xmlns:a="http://schemas.openxmlformats.org/drawingml/2006/main">
                        <a:graphicData uri="http://schemas.microsoft.com/office/word/2010/wordprocessingShape">
                          <wps:wsp>
                            <wps:cNvSpPr txBox="1"/>
                            <wps:spPr>
                              <a:xfrm>
                                <a:off x="0" y="0"/>
                                <a:ext cx="2583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131570" cy="175260"/>
                      <wp:effectExtent l="0" t="0" r="0" b="0"/>
                      <wp:wrapNone/>
                      <wp:docPr id="235" name="Frame234"/>
                      <a:graphic xmlns:a="http://schemas.openxmlformats.org/drawingml/2006/main">
                        <a:graphicData uri="http://schemas.microsoft.com/office/word/2010/wordprocessingShape">
                          <wps:wsp>
                            <wps:cNvSpPr txBox="1"/>
                            <wps:spPr>
                              <a:xfrm>
                                <a:off x="0" y="0"/>
                                <a:ext cx="1131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61315" cy="175260"/>
                      <wp:effectExtent l="0" t="0" r="0" b="0"/>
                      <wp:wrapNone/>
                      <wp:docPr id="237" name="Frame236"/>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58165" cy="175260"/>
                      <wp:effectExtent l="0" t="0" r="0" b="0"/>
                      <wp:wrapNone/>
                      <wp:docPr id="238" name="Frame237"/>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186180" cy="175260"/>
                      <wp:effectExtent l="0" t="0" r="0" b="0"/>
                      <wp:wrapNone/>
                      <wp:docPr id="240" name="Frame239"/>
                      <a:graphic xmlns:a="http://schemas.openxmlformats.org/drawingml/2006/main">
                        <a:graphicData uri="http://schemas.microsoft.com/office/word/2010/wordprocessingShape">
                          <wps:wsp>
                            <wps:cNvSpPr txBox="1"/>
                            <wps:spPr>
                              <a:xfrm>
                                <a:off x="0" y="0"/>
                                <a:ext cx="1186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7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69"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8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r>
      <w:tr>
        <w:trPr/>
        <w:tc>
          <w:tcPr>
            <w:tcW w:w="4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69"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available for</w:t>
            </w:r>
          </w:p>
        </w:tc>
      </w:tr>
      <w:tr>
        <w:trPr/>
        <w:tc>
          <w:tcPr>
            <w:tcW w:w="4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8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 to be</w:t>
            </w:r>
          </w:p>
        </w:tc>
        <w:tc>
          <w:tcPr>
            <w:tcW w:w="346" w:type="dxa"/>
            <w:tcBorders/>
            <w:vAlign w:val="center"/>
          </w:tcPr>
          <w:p>
            <w:pPr>
              <w:pStyle w:val="TableContents"/>
              <w:bidi w:val="0"/>
              <w:spacing w:before="0" w:after="1"/>
              <w:ind w:left="0" w:right="0" w:hanging="0"/>
              <w:jc w:val="center"/>
              <w:rPr/>
            </w:pPr>
            <w:r>
              <w:rPr/>
              <w:t>​</w:t>
            </w:r>
          </w:p>
        </w:tc>
        <w:tc>
          <w:tcPr>
            <w:tcW w:w="144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1"/>
              <w:ind w:left="0" w:right="0" w:hanging="0"/>
              <w:jc w:val="center"/>
              <w:rPr/>
            </w:pPr>
            <w:r>
              <w:rPr/>
              <w:t>​</w:t>
            </w:r>
          </w:p>
        </w:tc>
        <w:tc>
          <w:tcPr>
            <w:tcW w:w="18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issuance under</w:t>
            </w:r>
          </w:p>
        </w:tc>
      </w:tr>
      <w:tr>
        <w:trPr/>
        <w:tc>
          <w:tcPr>
            <w:tcW w:w="4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8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 exercise of</w:t>
            </w:r>
          </w:p>
        </w:tc>
        <w:tc>
          <w:tcPr>
            <w:tcW w:w="346" w:type="dxa"/>
            <w:tcBorders/>
            <w:vAlign w:val="center"/>
          </w:tcPr>
          <w:p>
            <w:pPr>
              <w:pStyle w:val="TableContents"/>
              <w:bidi w:val="0"/>
              <w:spacing w:before="0" w:after="1"/>
              <w:ind w:left="0" w:right="0" w:hanging="0"/>
              <w:jc w:val="center"/>
              <w:rPr/>
            </w:pPr>
            <w:r>
              <w:rPr/>
              <w:t>​</w:t>
            </w:r>
          </w:p>
        </w:tc>
        <w:tc>
          <w:tcPr>
            <w:tcW w:w="144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prices of</w:t>
            </w:r>
          </w:p>
        </w:tc>
        <w:tc>
          <w:tcPr>
            <w:tcW w:w="346" w:type="dxa"/>
            <w:tcBorders/>
            <w:vAlign w:val="center"/>
          </w:tcPr>
          <w:p>
            <w:pPr>
              <w:pStyle w:val="TableContents"/>
              <w:bidi w:val="0"/>
              <w:spacing w:before="0" w:after="1"/>
              <w:ind w:left="0" w:right="0" w:hanging="0"/>
              <w:jc w:val="center"/>
              <w:rPr/>
            </w:pPr>
            <w:r>
              <w:rPr/>
              <w:t>​</w:t>
            </w:r>
          </w:p>
        </w:tc>
        <w:tc>
          <w:tcPr>
            <w:tcW w:w="18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compensation plans</w:t>
            </w:r>
          </w:p>
        </w:tc>
      </w:tr>
      <w:tr>
        <w:trPr/>
        <w:tc>
          <w:tcPr>
            <w:tcW w:w="4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8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1"/>
              <w:ind w:left="0" w:right="0" w:hanging="0"/>
              <w:jc w:val="center"/>
              <w:rPr/>
            </w:pPr>
            <w:r>
              <w:rPr/>
              <w:t>​</w:t>
            </w:r>
          </w:p>
        </w:tc>
        <w:tc>
          <w:tcPr>
            <w:tcW w:w="144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1"/>
              <w:ind w:left="0" w:right="0" w:hanging="0"/>
              <w:jc w:val="center"/>
              <w:rPr/>
            </w:pPr>
            <w:r>
              <w:rPr/>
              <w:t>​</w:t>
            </w:r>
          </w:p>
        </w:tc>
        <w:tc>
          <w:tcPr>
            <w:tcW w:w="18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(excluding securities</w:t>
            </w:r>
          </w:p>
        </w:tc>
      </w:tr>
      <w:tr>
        <w:trPr/>
        <w:tc>
          <w:tcPr>
            <w:tcW w:w="40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8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46" w:type="dxa"/>
            <w:tcBorders/>
            <w:vAlign w:val="center"/>
          </w:tcPr>
          <w:p>
            <w:pPr>
              <w:pStyle w:val="TableContents"/>
              <w:bidi w:val="0"/>
              <w:spacing w:before="0" w:after="1"/>
              <w:ind w:left="0" w:right="0" w:hanging="0"/>
              <w:jc w:val="center"/>
              <w:rPr/>
            </w:pPr>
            <w:r>
              <w:rPr/>
              <w:t>​</w:t>
            </w:r>
          </w:p>
        </w:tc>
        <w:tc>
          <w:tcPr>
            <w:tcW w:w="144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346" w:type="dxa"/>
            <w:tcBorders/>
            <w:vAlign w:val="center"/>
          </w:tcPr>
          <w:p>
            <w:pPr>
              <w:pStyle w:val="TableContents"/>
              <w:bidi w:val="0"/>
              <w:spacing w:before="0" w:after="1"/>
              <w:ind w:left="0" w:right="0" w:hanging="0"/>
              <w:jc w:val="center"/>
              <w:rPr/>
            </w:pPr>
            <w:r>
              <w:rPr/>
              <w:t>​</w:t>
            </w:r>
          </w:p>
        </w:tc>
        <w:tc>
          <w:tcPr>
            <w:tcW w:w="18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 column (a))</w:t>
            </w:r>
          </w:p>
        </w:tc>
      </w:tr>
      <w:tr>
        <w:trPr/>
        <w:tc>
          <w:tcPr>
            <w:tcW w:w="406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46" w:type="dxa"/>
            <w:tcBorders/>
            <w:vAlign w:val="center"/>
          </w:tcPr>
          <w:p>
            <w:pPr>
              <w:pStyle w:val="TableContents"/>
              <w:bidi w:val="0"/>
              <w:spacing w:before="0" w:after="1"/>
              <w:ind w:left="0" w:right="0" w:hanging="0"/>
              <w:jc w:val="center"/>
              <w:rPr/>
            </w:pPr>
            <w:r>
              <w:rPr/>
              <w:t>​</w:t>
            </w:r>
          </w:p>
        </w:tc>
        <w:tc>
          <w:tcPr>
            <w:tcW w:w="17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346" w:type="dxa"/>
            <w:tcBorders/>
            <w:vAlign w:val="center"/>
          </w:tcPr>
          <w:p>
            <w:pPr>
              <w:pStyle w:val="TableContents"/>
              <w:bidi w:val="0"/>
              <w:spacing w:before="0" w:after="1"/>
              <w:ind w:left="0" w:right="0" w:hanging="0"/>
              <w:jc w:val="center"/>
              <w:rPr/>
            </w:pPr>
            <w:r>
              <w:rPr/>
              <w:t>​</w:t>
            </w:r>
          </w:p>
        </w:tc>
        <w:tc>
          <w:tcPr>
            <w:tcW w:w="14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46" w:type="dxa"/>
            <w:tcBorders/>
            <w:vAlign w:val="center"/>
          </w:tcPr>
          <w:p>
            <w:pPr>
              <w:pStyle w:val="TableContents"/>
              <w:bidi w:val="0"/>
              <w:spacing w:before="0" w:after="1"/>
              <w:ind w:left="0" w:right="0" w:hanging="0"/>
              <w:jc w:val="center"/>
              <w:rPr/>
            </w:pPr>
            <w:r>
              <w:rPr/>
              <w:t>​</w:t>
            </w:r>
          </w:p>
        </w:tc>
        <w:tc>
          <w:tcPr>
            <w:tcW w:w="18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40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approved by stockholders*</w:t>
            </w:r>
          </w:p>
        </w:tc>
        <w:tc>
          <w:tcPr>
            <w:tcW w:w="346" w:type="dxa"/>
            <w:tcBorders/>
            <w:shd w:fill="CCEEFF" w:val="clear"/>
            <w:vAlign w:val="center"/>
          </w:tcPr>
          <w:p>
            <w:pPr>
              <w:pStyle w:val="TableContents"/>
              <w:bidi w:val="0"/>
              <w:spacing w:before="0" w:after="1"/>
              <w:ind w:left="0" w:right="0" w:hanging="0"/>
              <w:jc w:val="center"/>
              <w:rPr/>
            </w:pPr>
            <w:r>
              <w:rPr/>
              <w:t>​</w:t>
            </w:r>
          </w:p>
        </w:tc>
        <w:tc>
          <w:tcPr>
            <w:tcW w:w="17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8,182,673</w:t>
            </w:r>
          </w:p>
        </w:tc>
      </w:tr>
      <w:tr>
        <w:trPr/>
        <w:tc>
          <w:tcPr>
            <w:tcW w:w="40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stockholders</w:t>
            </w:r>
          </w:p>
        </w:tc>
        <w:tc>
          <w:tcPr>
            <w:tcW w:w="346" w:type="dxa"/>
            <w:tcBorders/>
            <w:vAlign w:val="center"/>
          </w:tcPr>
          <w:p>
            <w:pPr>
              <w:pStyle w:val="TableContents"/>
              <w:bidi w:val="0"/>
              <w:spacing w:before="0" w:after="1"/>
              <w:ind w:left="0" w:right="0" w:hanging="0"/>
              <w:jc w:val="center"/>
              <w:rPr/>
            </w:pPr>
            <w:r>
              <w:rPr/>
              <w:t>​</w:t>
            </w:r>
          </w:p>
        </w:tc>
        <w:tc>
          <w:tcPr>
            <w:tcW w:w="17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6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8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0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center"/>
              <w:rPr/>
            </w:pPr>
            <w:r>
              <w:rPr/>
              <w:t>​</w:t>
            </w:r>
          </w:p>
        </w:tc>
        <w:tc>
          <w:tcPr>
            <w:tcW w:w="1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86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8,182,673</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Included in this category are the following equity compensation plans, which have been approved by the Company’s stockholders:</w:t>
            </w:r>
          </w:p>
        </w:tc>
      </w:tr>
    </w:tbl>
    <w:tbl>
      <w:tblPr>
        <w:tblW w:w="7398" w:type="dxa"/>
        <w:jc w:val="left"/>
        <w:tblInd w:w="0" w:type="dxa"/>
        <w:tblLayout w:type="fixed"/>
        <w:tblCellMar>
          <w:top w:w="0" w:type="dxa"/>
          <w:left w:w="0" w:type="dxa"/>
          <w:bottom w:w="0" w:type="dxa"/>
          <w:right w:w="0" w:type="dxa"/>
        </w:tblCellMar>
      </w:tblPr>
      <w:tblGrid>
        <w:gridCol w:w="5416"/>
        <w:gridCol w:w="346"/>
        <w:gridCol w:w="1636"/>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439160" cy="175260"/>
                      <wp:effectExtent l="0" t="0" r="0" b="0"/>
                      <wp:wrapNone/>
                      <wp:docPr id="241" name="Frame240"/>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038860" cy="175260"/>
                      <wp:effectExtent l="0" t="0" r="0" b="0"/>
                      <wp:wrapNone/>
                      <wp:docPr id="243" name="Frame242"/>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securities</w:t>
            </w:r>
          </w:p>
        </w:tc>
      </w:tr>
      <w:tr>
        <w:trPr/>
        <w:tc>
          <w:tcPr>
            <w:tcW w:w="5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 for future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compensation plan</w:t>
            </w:r>
          </w:p>
        </w:tc>
        <w:tc>
          <w:tcPr>
            <w:tcW w:w="346" w:type="dxa"/>
            <w:tcBorders/>
            <w:vAlign w:val="center"/>
          </w:tcPr>
          <w:p>
            <w:pPr>
              <w:pStyle w:val="TableContents"/>
              <w:bidi w:val="0"/>
              <w:spacing w:before="0" w:after="0"/>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issuance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1990 Incentive and Nonqualified Stock Option Plan</w:t>
            </w:r>
          </w:p>
        </w:tc>
        <w:tc>
          <w:tcPr>
            <w:tcW w:w="346" w:type="dxa"/>
            <w:tcBorders/>
            <w:shd w:fill="CCEEFF" w:val="clear"/>
            <w:vAlign w:val="center"/>
          </w:tcPr>
          <w:p>
            <w:pPr>
              <w:pStyle w:val="TableContents"/>
              <w:bidi w:val="0"/>
              <w:spacing w:before="0" w:after="0"/>
              <w:ind w:left="0" w:right="0" w:hanging="0"/>
              <w:jc w:val="left"/>
              <w:rPr/>
            </w:pPr>
            <w:r>
              <w:rPr/>
              <w:t>​</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5,125,417</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1998 Incentive and Nonqualified Stock Option Plan</w: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1,760,905</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2000 Incentive and Nonqualified Stock Option Plan</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382,705</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Dillard's, Inc. Stock Bonus Plan</w:t>
            </w:r>
          </w:p>
        </w:tc>
        <w:tc>
          <w:tcPr>
            <w:tcW w:w="3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674,262</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Dillard's, Inc. Stock Purchase Plan</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125,498</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Dillard's, Inc. 2005 Non-Employee Director Restricted Stock Plan</w:t>
            </w:r>
          </w:p>
        </w:tc>
        <w:tc>
          <w:tcPr>
            <w:tcW w:w="346" w:type="dxa"/>
            <w:tcBorders/>
            <w:vAlign w:val="center"/>
          </w:tcPr>
          <w:p>
            <w:pPr>
              <w:pStyle w:val="TableContents"/>
              <w:bidi w:val="0"/>
              <w:spacing w:before="0" w:after="0"/>
              <w:ind w:left="0" w:right="0" w:hanging="0"/>
              <w:jc w:val="left"/>
              <w:rPr/>
            </w:pPr>
            <w:r>
              <w:rPr/>
              <w:t>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113,886</w:t>
            </w:r>
          </w:p>
        </w:tc>
      </w:tr>
      <w:tr>
        <w:trPr/>
        <w:tc>
          <w:tcPr>
            <w:tcW w:w="54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8,182,673</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There are no non-stockholder approved plans. Balances presented in the table above are as of January 31,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 information called for by this item is incorporated herein by reference from the information under the headings “Security Ownership of Certain Beneficial Holders” and “Security Ownership of Management” in the Proxy Statement.</w:t>
      </w:r>
    </w:p>
    <w:p>
      <w:pPr>
        <w:pStyle w:val="TextBody"/>
        <w:bidi w:val="0"/>
        <w:spacing w:before="0" w:after="240"/>
        <w:ind w:left="0" w:right="0" w:hanging="0"/>
        <w:jc w:val="left"/>
        <w:rPr>
          <w:rFonts w:ascii="Times New Roman;Times;serif" w:hAnsi="Times New Roman;Times;serif"/>
          <w:b/>
          <w:sz w:val="20"/>
        </w:rPr>
      </w:pPr>
      <w:bookmarkStart w:id="96" w:name="ITEM13CERTAINRELATIONSHIPSANDRELATEDTRAN"/>
      <w:bookmarkStart w:id="97" w:name="_3f51119f_9dbc_4e60_8afd_6ef07eba9333"/>
      <w:bookmarkEnd w:id="96"/>
      <w:bookmarkEnd w:id="97"/>
      <w:r>
        <w:rPr>
          <w:rFonts w:ascii="Times New Roman;Times;serif" w:hAnsi="Times New Roman;Times;serif"/>
          <w:b/>
          <w:sz w:val="20"/>
        </w:rPr>
        <w:t>ITEM 13.   CERTAIN RELATIONSHIPS AND RELATED TRANSACTIONS, AND DIRECTOR INDEPENDENCE</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called for by this item is incorporated herein by reference from the information under the headings “Certain Relationships and Transactions” and “Information Regarding the Board and Its Committees” in the Proxy Statement.</w:t>
      </w:r>
    </w:p>
    <w:p>
      <w:pPr>
        <w:pStyle w:val="TextBody"/>
        <w:bidi w:val="0"/>
        <w:spacing w:before="0" w:after="240"/>
        <w:ind w:left="0" w:right="0" w:hanging="0"/>
        <w:jc w:val="left"/>
        <w:rPr>
          <w:rFonts w:ascii="Times New Roman;Times;serif" w:hAnsi="Times New Roman;Times;serif"/>
          <w:b/>
          <w:sz w:val="20"/>
        </w:rPr>
      </w:pPr>
      <w:bookmarkStart w:id="98" w:name="ITEM14PRINCIPALACCOUNTANTFEESANDSERVICES"/>
      <w:bookmarkStart w:id="99" w:name="_39e8ee1f_28ef_4e21_8e00_75086f169fef"/>
      <w:bookmarkEnd w:id="98"/>
      <w:bookmarkEnd w:id="99"/>
      <w:r>
        <w:rPr>
          <w:rFonts w:ascii="Times New Roman;Times;serif" w:hAnsi="Times New Roman;Times;serif"/>
          <w:b/>
          <w:sz w:val="20"/>
        </w:rPr>
        <w:t>ITEM 14.   PRINCIPAL ACCOUNTANT FEES AND SERVICES</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information called for by this item is incorporated herein by reference from the information under the heading “Independent Accountant Fees” in the Proxy Statement.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0" w:name="PARTIV_477881"/>
      <w:bookmarkStart w:id="101" w:name="_06f7420d_2628_4970_bb31_f9dc10bbcd3d"/>
      <w:bookmarkEnd w:id="100"/>
      <w:bookmarkEnd w:id="101"/>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02" w:name="ITEM15EXHIBITSANDFINANCIALSTATEMENTSCHED"/>
      <w:bookmarkEnd w:id="102"/>
      <w:r>
        <w:rPr>
          <w:rFonts w:ascii="Times New Roman;Times;serif" w:hAnsi="Times New Roman;Times;serif"/>
          <w:b/>
          <w:sz w:val="20"/>
        </w:rPr>
        <w:t>ITEM 15.   EXHIBITS AND FINANCIAL STATEMENT SCHEDULES</w:t>
      </w:r>
      <w:r>
        <w:rPr>
          <w:rFonts w:ascii="Times New Roman;Times;serif" w:hAnsi="Times New Roman;Times;serif"/>
          <w:b w:val="false"/>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(a)(1) and (2)    </w:t>
      </w:r>
      <w:r>
        <w:rPr>
          <w:rFonts w:ascii="Times New Roman;Times;serif" w:hAnsi="Times New Roman;Times;serif"/>
          <w:i/>
          <w:sz w:val="20"/>
        </w:rPr>
        <w:t>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“Index of Financial Statements” has been filed as a part of this report beginning on page F-1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(a)(3)    </w:t>
      </w:r>
      <w:r>
        <w:rPr>
          <w:rFonts w:ascii="Times New Roman;Times;serif" w:hAnsi="Times New Roman;Times;serif"/>
          <w:i/>
          <w:sz w:val="20"/>
        </w:rPr>
        <w:t>Exhibits and Management Compensatory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“Exhibit Index” beginning on page 43 hereof identifies exhibits incorporated herein by reference or filed with this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11"/>
        <w:gridCol w:w="346"/>
        <w:gridCol w:w="9048"/>
      </w:tblGrid>
      <w:tr>
        <w:trPr/>
        <w:tc>
          <w:tcPr>
            <w:tcW w:w="8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57175" cy="175260"/>
                      <wp:effectExtent l="0" t="0" r="0" b="0"/>
                      <wp:wrapNone/>
                      <wp:docPr id="244" name="Frame24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0"/>
              <w:ind w:left="0" w:right="0" w:hanging="0"/>
              <w:jc w:val="left"/>
              <w:rPr/>
            </w:pPr>
            <w:r>
              <w:rPr/>
              <w:t>​</w:t>
            </w:r>
          </w:p>
        </w:tc>
        <w:tc>
          <w:tcPr>
            <w:tcW w:w="904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872740" cy="175260"/>
                      <wp:effectExtent l="0" t="0" r="0" b="0"/>
                      <wp:wrapNone/>
                      <wp:docPr id="245" name="Frame244"/>
                      <a:graphic xmlns:a="http://schemas.openxmlformats.org/drawingml/2006/main">
                        <a:graphicData uri="http://schemas.microsoft.com/office/word/2010/wordprocessingShape">
                          <wps:wsp>
                            <wps:cNvSpPr txBox="1"/>
                            <wps:spPr>
                              <a:xfrm>
                                <a:off x="0" y="0"/>
                                <a:ext cx="287274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46" w:type="dxa"/>
            <w:tcBorders/>
            <w:vAlign w:val="center"/>
          </w:tcPr>
          <w:p>
            <w:pPr>
              <w:pStyle w:val="TableHeading"/>
              <w:bidi w:val="0"/>
              <w:spacing w:before="0" w:after="0"/>
              <w:ind w:left="0" w:right="0" w:hanging="0"/>
              <w:jc w:val="left"/>
              <w:rPr/>
            </w:pPr>
            <w:r>
              <w:rPr/>
              <w:t>  ​ ​ ​</w:t>
            </w:r>
          </w:p>
        </w:tc>
        <w:tc>
          <w:tcPr>
            <w:tcW w:w="904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*2(a)</w:t>
            </w:r>
          </w:p>
        </w:tc>
        <w:tc>
          <w:tcPr>
            <w:tcW w:w="346" w:type="dxa"/>
            <w:tcBorders/>
            <w:vAlign w:val="center"/>
          </w:tcPr>
          <w:p>
            <w:pPr>
              <w:pStyle w:val="TableContents"/>
              <w:bidi w:val="0"/>
              <w:spacing w:before="0" w:after="0"/>
              <w:ind w:left="0" w:right="0" w:hanging="0"/>
              <w:jc w:val="right"/>
              <w:rPr/>
            </w:pPr>
            <w:r>
              <w:rPr/>
              <w:t>​</w:t>
            </w:r>
          </w:p>
        </w:tc>
        <w:tc>
          <w:tcPr>
            <w:tcW w:w="9048" w:type="dxa"/>
            <w:tcBorders>
              <w:top w:val="single" w:sz="2" w:space="0" w:color="000000"/>
            </w:tcBorders>
            <w:tcMar>
              <w:top w:w="28"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Plan of Conversion (Exhibit 2.1 to Form 8-K dated as of August 20, 2025,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*§2(b)</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Agreement and Plan of Merger (Exhibit 2.1 to Form 8-K dated as of March 20, 2026,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2(c)</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w:anchor="dds-20260131xex2dc.htm">
              <w:r>
                <w:rPr>
                  <w:rStyle w:val="InternetLink"/>
                  <w:rFonts w:ascii="Times New Roman;Times;serif" w:hAnsi="Times New Roman;Times;serif"/>
                  <w:b w:val="false"/>
                  <w:i w:val="false"/>
                  <w:caps w:val="false"/>
                  <w:smallCaps w:val="false"/>
                  <w:sz w:val="20"/>
                </w:rPr>
                <w:t>Amendment No. 1 to Agreement and Plan of Merger.</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*3(a)</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w:t>
              </w:r>
            </w:hyperlink>
            <w:hyperlink r:id="rId6">
              <w:r>
                <w:rPr>
                  <w:rStyle w:val="InternetLink"/>
                  <w:rFonts w:ascii="Times New Roman;Times;serif" w:hAnsi="Times New Roman;Times;serif"/>
                  <w:caps w:val="false"/>
                  <w:smallCaps w:val="false"/>
                  <w:sz w:val="20"/>
                </w:rPr>
                <w:t xml:space="preserve"> </w:t>
              </w:r>
            </w:hyperlink>
            <w:hyperlink r:id="rId7">
              <w:r>
                <w:rPr>
                  <w:rStyle w:val="InternetLink"/>
                  <w:rFonts w:ascii="Times New Roman;Times;serif" w:hAnsi="Times New Roman;Times;serif"/>
                  <w:b w:val="false"/>
                  <w:i w:val="false"/>
                  <w:caps w:val="false"/>
                  <w:smallCaps w:val="false"/>
                  <w:sz w:val="20"/>
                </w:rPr>
                <w:t>of Formation of Dillard’s, Inc. (Exhibit 3.1 to Form 8-K dated as of August 20, 2025,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*3(b)</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Bylaws of Dillard’s, Inc. (Exhibit 3.2 to Form 8-K dated as of August 20, 2025,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*4(a)</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Indenture between Registrant and Chemical Bank, Trustee, dated as of May 15, 1988, as supplemented (Exhibit 4 to Registration Statement File No. 33-21671, Exhibit 4.2 to Registration Statement File No. 33-25114, Exhibit 4(c) to Form 8-K dated September 26, 1990, File No. 1-6140 and Exhibit 4-q to Registration Statement File No. 333-59183).</w:t>
            </w:r>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4(b)</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w:anchor="dds-20260131xex4db.htm">
              <w:r>
                <w:rPr>
                  <w:rStyle w:val="InternetLink"/>
                  <w:rFonts w:ascii="Times New Roman;Times;serif" w:hAnsi="Times New Roman;Times;serif"/>
                  <w:b w:val="false"/>
                  <w:i w:val="false"/>
                  <w:caps w:val="false"/>
                  <w:smallCaps w:val="false"/>
                  <w:sz w:val="20"/>
                </w:rPr>
                <w:t>Description of Securities.</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*+10(a)</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1990 Incentive and Nonqualified Stock Option Plan (Exhibit 10(b) to Form 10-K for the fiscal year ended January 30, 1993, File No. 1-6140).</w:t>
            </w:r>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*+10(b)</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Senior Management Cash Bonus Plan (Exhibit 10(d) to Form 10-K for the fiscal year ended January 28, 1995,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*+10(c)</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1998 Incentive and Nonqualified Stock Option Plan (Exhibit 10(b) to Form 10-K for the fiscal year ended January 30, 1999,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*+10(d)</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2000 Incentive and Nonqualified Stock Option Plan (Exhibit 10(e) to Form 10-K for the fiscal year ended February 3, 2001,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*+10(e)</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Dillard’s, Inc. Stock Bonus Plan, as amended (Exhibit 10(e) to Form 10-K for the fiscal year ended January 30, 2016,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*+10(f)</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Dillard’s, Inc. Stock Purchase Plan (Exhibit 10.2 to Form 10-Q for the quarter ended April 30, 2005,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*+10(g)</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Dillard’s, Inc. 2005 Non-Employee Director Restricted Stock Plan, as amended (Exhibit 10 to Form 10-Q for the fiscal quarter ended May 4, 2024,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*+10(h)</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Amended and Restated Dillard's Corporate Officers Non-Qualified Pension Plan (Exhibit 10.1 to Form 8-K dated as of November 21, 2007,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*#10(i)</w:t>
            </w:r>
          </w:p>
        </w:tc>
        <w:tc>
          <w:tcPr>
            <w:tcW w:w="346" w:type="dxa"/>
            <w:tcBorders/>
            <w:vAlign w:val="center"/>
          </w:tcPr>
          <w:p>
            <w:pPr>
              <w:pStyle w:val="TableContents"/>
              <w:bidi w:val="0"/>
              <w:spacing w:before="0" w:after="0"/>
              <w:ind w:left="0" w:right="0" w:hanging="0"/>
              <w:jc w:val="right"/>
              <w:rPr/>
            </w:pPr>
            <w:r>
              <w:rPr/>
              <w:t>​</w:t>
            </w:r>
          </w:p>
        </w:tc>
        <w:tc>
          <w:tcPr>
            <w:tcW w:w="9048"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Credit Card Program Agreement by and between Dillard’s, Inc., Citibank, N.A., and for the limited purposes stated therein, Dillard Investment Co. Inc. (Exhibit 10(k) to Form 10-K for the fiscal year ended February 1, 2025,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048"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*10(j)</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Five-Year Credit Agreement between Dillard’s, Inc., Dillard Store Services, Inc. and JPMorgan Chase Bank, N.A. as agent for a syndicate of lenders (Exhibit 10.1 to Form 8-K filed on May 15, 2015,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Amendment No. 1 to Five-Year Credit Agreement between Dillard’s, Inc., Dillard Store Services, Inc. and JPMorgan Chase Bank, N.A. as agent for a syndicate of lenders (Exhibit 10.1 to Form 8-K dated as of August 11, 2017, File No. 1-6140).</w:t>
              </w:r>
            </w:hyperlink>
          </w:p>
        </w:tc>
      </w:tr>
      <w:tr>
        <w:trPr/>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35"/>
        <w:gridCol w:w="346"/>
        <w:gridCol w:w="9024"/>
      </w:tblGrid>
      <w:tr>
        <w:trPr/>
        <w:tc>
          <w:tcPr>
            <w:tcW w:w="83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64795" cy="175260"/>
                      <wp:effectExtent l="0" t="0" r="0" b="0"/>
                      <wp:wrapNone/>
                      <wp:docPr id="246" name="Frame245"/>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0"/>
              <w:ind w:left="0" w:right="0" w:hanging="0"/>
              <w:jc w:val="left"/>
              <w:rPr/>
            </w:pPr>
            <w:r>
              <w:rPr/>
              <w:t>​</w:t>
            </w:r>
          </w:p>
        </w:tc>
        <w:tc>
          <w:tcPr>
            <w:tcW w:w="902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865120" cy="175260"/>
                      <wp:effectExtent l="0" t="0" r="0" b="0"/>
                      <wp:wrapNone/>
                      <wp:docPr id="247" name="Frame246"/>
                      <a:graphic xmlns:a="http://schemas.openxmlformats.org/drawingml/2006/main">
                        <a:graphicData uri="http://schemas.microsoft.com/office/word/2010/wordprocessingShape">
                          <wps:wsp>
                            <wps:cNvSpPr txBox="1"/>
                            <wps:spPr>
                              <a:xfrm>
                                <a:off x="0" y="0"/>
                                <a:ext cx="286512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35"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46" w:type="dxa"/>
            <w:tcBorders/>
            <w:vAlign w:val="center"/>
          </w:tcPr>
          <w:p>
            <w:pPr>
              <w:pStyle w:val="TableHeading"/>
              <w:bidi w:val="0"/>
              <w:spacing w:before="0" w:after="0"/>
              <w:ind w:left="0" w:right="0" w:hanging="0"/>
              <w:jc w:val="left"/>
              <w:rPr/>
            </w:pPr>
            <w:r>
              <w:rPr/>
              <w:t>  ​ ​ ​</w:t>
            </w:r>
          </w:p>
        </w:tc>
        <w:tc>
          <w:tcPr>
            <w:tcW w:w="902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*10(l)</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Amendment No. 2 to Five-Year Credit Agreement between Dillard’s, Inc., Dillard Store Services, Inc. and JPMorgan Chase Bank, N.A. as agent for a syndicate of lenders (Exhibit 10.1 to Form 8-K dated as of May 4, 2020, File No. 1-6140).</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*10(m)</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Amendment No. 3 to Five-Year Credit Agreement between Dillard’s, Inc., Dillard Store Services, Inc. and JPMorgan Chase Bank, N.A. as agent for a syndicate of lenders (Exhibit 10.1 to Form 8-K dated as of May 3, 2021, File No. 1-6140).</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*10(n)</w:t>
            </w:r>
          </w:p>
        </w:tc>
        <w:tc>
          <w:tcPr>
            <w:tcW w:w="346" w:type="dxa"/>
            <w:tcBorders/>
            <w:vAlign w:val="center"/>
          </w:tcPr>
          <w:p>
            <w:pPr>
              <w:pStyle w:val="TableContents"/>
              <w:bidi w:val="0"/>
              <w:spacing w:before="0" w:after="0"/>
              <w:ind w:left="0" w:right="0" w:hanging="0"/>
              <w:jc w:val="right"/>
              <w:rPr/>
            </w:pPr>
            <w:r>
              <w:rPr/>
              <w:t>​</w:t>
            </w:r>
          </w:p>
        </w:tc>
        <w:tc>
          <w:tcPr>
            <w:tcW w:w="9024"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Amendment No. 4 to Five-Year Credit Agreement between Dillard’s, Inc., Dillard Store Services, Inc. and JPMorgan Chase Bank, N.A. as agent for a syndicate of lenders (Exhibit 10.2 to Form 10-Q for the quarter ended July 29, 2023, File No. 1-6140).</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*10(o)</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Amendment No. 5 to Five-Year Credit Agreement between Dillard’s, Inc., Dillard Store Services, Inc. and JPMorgan Chase Bank, N.A. as agent for a syndicate of lenders (Exhibit 10.1 to Form 8-K dated as of March 18, 2025, File No. 1-6140).</w:t>
              </w:r>
            </w:hyperlink>
          </w:p>
        </w:tc>
      </w:tr>
      <w:tr>
        <w:trPr/>
        <w:tc>
          <w:tcPr>
            <w:tcW w:w="835" w:type="dxa"/>
            <w:tcBorders/>
            <w:vAlign w:val="center"/>
          </w:tcPr>
          <w:p>
            <w:pPr>
              <w:pStyle w:val="TableContents"/>
              <w:bidi w:val="0"/>
              <w:spacing w:before="0" w:after="0"/>
              <w:ind w:left="0" w:right="0" w:hanging="0"/>
              <w:jc w:val="righ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Dillard’s, Inc. Insider Trading Policy (Exhibit 19 to Form 10-K for the fiscal year ended February 1, 2025, File No. 1-6140).</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024" w:type="dxa"/>
            <w:tcBorders/>
            <w:vAlign w:val="center"/>
          </w:tcPr>
          <w:p>
            <w:pPr>
              <w:pStyle w:val="TableContents"/>
              <w:bidi w:val="0"/>
              <w:spacing w:before="0" w:after="0"/>
              <w:ind w:left="0" w:right="0" w:hanging="0"/>
              <w:jc w:val="righ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w:anchor="dds-20260131xex21.htm">
              <w:r>
                <w:rPr>
                  <w:rStyle w:val="InternetLink"/>
                  <w:rFonts w:ascii="Times New Roman;Times;serif" w:hAnsi="Times New Roman;Times;serif"/>
                  <w:b w:val="false"/>
                  <w:i w:val="false"/>
                  <w:caps w:val="false"/>
                  <w:smallCaps w:val="false"/>
                  <w:sz w:val="20"/>
                </w:rPr>
                <w:t>Subsidiaries of Registrant.</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w:anchor="dds-20260131xex23.htm">
              <w:r>
                <w:rPr>
                  <w:rStyle w:val="InternetLink"/>
                  <w:rFonts w:ascii="Times New Roman;Times;serif" w:hAnsi="Times New Roman;Times;serif"/>
                  <w:b w:val="false"/>
                  <w:i w:val="false"/>
                  <w:caps w:val="false"/>
                  <w:smallCaps w:val="false"/>
                  <w:sz w:val="20"/>
                </w:rPr>
                <w:t>Consent of Independent Registered Public Accounting Firm.</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 </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31(a)</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w:anchor="dds-20260131xex31da.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 </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31(b)</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w:anchor="dds-20260131xex31db.htm">
              <w:r>
                <w:rPr>
                  <w:rStyle w:val="InternetLink"/>
                  <w:rFonts w:ascii="Times New Roman;Times;serif" w:hAnsi="Times New Roman;Times;serif"/>
                  <w:b w:val="false"/>
                  <w:i w:val="false"/>
                  <w:caps w:val="false"/>
                  <w:smallCaps w:val="false"/>
                  <w:sz w:val="20"/>
                </w:rPr>
                <w:t>Certification of Co-Principal Financial Officer Pursuant to Section 302 of the Sarbanes-Oxley Act of 2002.</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31(c)</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w:anchor="dds-20260131xex31dc.htm">
              <w:r>
                <w:rPr>
                  <w:rStyle w:val="InternetLink"/>
                  <w:rFonts w:ascii="Times New Roman;Times;serif" w:hAnsi="Times New Roman;Times;serif"/>
                  <w:b w:val="false"/>
                  <w:i w:val="false"/>
                  <w:caps w:val="false"/>
                  <w:smallCaps w:val="false"/>
                  <w:sz w:val="20"/>
                </w:rPr>
                <w:t>Certification of Co-Principal Financial Officer Pursuant to Section 302 of the Sarbanes-Oxley Act of 2002.</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32(a)</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pPr>
            <w:hyperlink w:anchor="dds-20260131xex32da.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 (18 U.S.C. 1350).</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32(b)</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w:anchor="dds-20260131xex32db.htm">
              <w:r>
                <w:rPr>
                  <w:rStyle w:val="InternetLink"/>
                  <w:rFonts w:ascii="Times New Roman;Times;serif" w:hAnsi="Times New Roman;Times;serif"/>
                  <w:b w:val="false"/>
                  <w:i w:val="false"/>
                  <w:caps w:val="false"/>
                  <w:smallCaps w:val="false"/>
                  <w:sz w:val="20"/>
                </w:rPr>
                <w:t>Certification of Co-Principal Financial Officer Pursuant to Section 906 of the Sarbanes-Oxley Act of 2002 (18 U.S.C. 1350).</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32(c)</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hyperlink w:anchor="dds-20260131xex32dc.htm">
              <w:r>
                <w:rPr>
                  <w:rStyle w:val="InternetLink"/>
                  <w:rFonts w:ascii="Times New Roman;Times;serif" w:hAnsi="Times New Roman;Times;serif"/>
                  <w:b w:val="false"/>
                  <w:i w:val="false"/>
                  <w:caps w:val="false"/>
                  <w:smallCaps w:val="false"/>
                  <w:sz w:val="20"/>
                </w:rPr>
                <w:t>Certification of Co-Principal Financial Officer Pursuant to Section 906 of the Sarbanes-Oxley Act of 2002 (18 U.S.C. 1350).</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right"/>
              <w:rPr/>
            </w:pPr>
            <w:r>
              <w:rPr/>
              <w:t>​</w:t>
            </w:r>
          </w:p>
        </w:tc>
        <w:tc>
          <w:tcPr>
            <w:tcW w:w="9024"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Dillard’s, Inc. Policy for the Recovery of Erroneously Awarded Compensation (Exhibit 97 to Form 10-K for the fiscal year ended February 1, 2025, File No. 1-6140).</w:t>
              </w:r>
            </w:hyperlink>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pPr>
            <w:r>
              <w:rPr/>
              <w:t> </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pPr>
            <w:r>
              <w:rPr/>
              <w:t> </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pPr>
            <w:r>
              <w:rPr/>
              <w:t> </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pPr>
            <w:r>
              <w:rPr/>
              <w:t> </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pPr>
            <w:r>
              <w:rPr/>
              <w:t> </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 </w:t>
            </w:r>
          </w:p>
        </w:tc>
        <w:tc>
          <w:tcPr>
            <w:tcW w:w="90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3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0" w:right="0" w:hanging="0"/>
              <w:jc w:val="left"/>
              <w:rPr/>
            </w:pPr>
            <w:r>
              <w:rPr/>
              <w:t>​</w:t>
            </w:r>
          </w:p>
        </w:tc>
      </w:tr>
      <w:tr>
        <w:trPr/>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24" w:type="dxa"/>
            <w:tcBorders/>
            <w:vAlign w:val="center"/>
          </w:tcPr>
          <w:p>
            <w:pPr>
              <w:pStyle w:val="TableContents"/>
              <w:bidi w:val="0"/>
              <w:spacing w:before="0" w:after="0"/>
              <w:ind w:left="18"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3512" w:type="dxa"/>
        <w:jc w:val="left"/>
        <w:tblInd w:w="0" w:type="dxa"/>
        <w:tblLayout w:type="fixed"/>
        <w:tblCellMar>
          <w:top w:w="0" w:type="dxa"/>
          <w:left w:w="0" w:type="dxa"/>
          <w:bottom w:w="0" w:type="dxa"/>
          <w:right w:w="0" w:type="dxa"/>
        </w:tblCellMar>
      </w:tblPr>
      <w:tblGrid>
        <w:gridCol w:w="226"/>
        <w:gridCol w:w="328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2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Incorporated by reference as indicated.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582" w:type="dxa"/>
        <w:jc w:val="left"/>
        <w:tblInd w:w="0" w:type="dxa"/>
        <w:tblLayout w:type="fixed"/>
        <w:tblCellMar>
          <w:top w:w="0" w:type="dxa"/>
          <w:left w:w="0" w:type="dxa"/>
          <w:bottom w:w="0" w:type="dxa"/>
          <w:right w:w="0" w:type="dxa"/>
        </w:tblCellMar>
      </w:tblPr>
      <w:tblGrid>
        <w:gridCol w:w="406"/>
        <w:gridCol w:w="5176"/>
      </w:tblGrid>
      <w:tr>
        <w:trPr/>
        <w:tc>
          <w:tcPr>
            <w:tcW w:w="4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w:t>
            </w:r>
          </w:p>
        </w:tc>
        <w:tc>
          <w:tcPr>
            <w:tcW w:w="517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w:t>
            </w:r>
          </w:p>
        </w:tc>
        <w:tc>
          <w:tcPr>
            <w:tcW w:w="979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Certain portions of this exhibit have been omitted because such portions are both not material and is the type the registrant customarily and actually treats as private or confidential.</w:t>
            </w:r>
          </w:p>
        </w:tc>
      </w:tr>
    </w:tbl>
    <w:tbl>
      <w:tblPr>
        <w:tblW w:w="10205" w:type="dxa"/>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    </w:t>
            </w:r>
          </w:p>
        </w:tc>
        <w:tc>
          <w:tcPr>
            <w:tcW w:w="979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Certain schedules and exhibits to this agreement have been omitted pursuant to Item 601(a)(5) of Regulation S-K. The Company agrees to furnish to the SEC a copy of any omitted schedule or exhibit upon request.</w:t>
            </w:r>
          </w:p>
        </w:tc>
      </w:tr>
    </w:tbl>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 w:name="ITEM16FORM10KSUMMARY_736369"/>
      <w:bookmarkStart w:id="104" w:name="_afc9ed31_e851_486f_bd44_3f8abb7bce4a"/>
      <w:bookmarkEnd w:id="103"/>
      <w:bookmarkEnd w:id="104"/>
      <w:r>
        <w:rPr>
          <w:rFonts w:ascii="Times New Roman;Times;serif" w:hAnsi="Times New Roman;Times;serif"/>
          <w:b/>
          <w:sz w:val="20"/>
        </w:rPr>
        <w:t>ITEM 16. FORM 10-K SUMMARY</w:t>
      </w:r>
      <w:r>
        <w:rPr>
          <w:rFonts w:ascii="Times New Roman;Times;serif" w:hAnsi="Times New Roman;Times;serif"/>
          <w:b w:val="false"/>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05" w:name="SIGNATURES_856011"/>
      <w:bookmarkStart w:id="106" w:name="_f1cf4858_def5_4b48_80ce_7e5a812c5031"/>
      <w:bookmarkEnd w:id="105"/>
      <w:bookmarkEnd w:id="106"/>
      <w:r>
        <w:rPr>
          <w:rFonts w:ascii="Times New Roman;Times;serif" w:hAnsi="Times New Roman;Times;serif"/>
          <w:b/>
          <w:sz w:val="18"/>
        </w:rPr>
        <w:t>SIGNATURES</w:t>
      </w:r>
    </w:p>
    <w:p>
      <w:pPr>
        <w:pStyle w:val="TextBody"/>
        <w:bidi w:val="0"/>
        <w:spacing w:before="0" w:after="240"/>
        <w:ind w:left="0" w:right="0" w:hanging="0"/>
        <w:jc w:val="center"/>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240"/>
        <w:ind w:left="0" w:right="0" w:firstLine="360"/>
        <w:jc w:val="left"/>
        <w:rPr/>
      </w:pPr>
      <w:r>
        <w:rPr/>
        <w:t>​</w:t>
      </w:r>
    </w:p>
    <w:tbl>
      <w:tblPr>
        <w:tblW w:w="5643" w:type="dxa"/>
        <w:jc w:val="left"/>
        <w:tblInd w:w="0" w:type="dxa"/>
        <w:tblLayout w:type="fixed"/>
        <w:tblCellMar>
          <w:top w:w="0" w:type="dxa"/>
          <w:left w:w="0" w:type="dxa"/>
          <w:bottom w:w="0" w:type="dxa"/>
          <w:right w:w="0" w:type="dxa"/>
        </w:tblCellMar>
      </w:tblPr>
      <w:tblGrid>
        <w:gridCol w:w="1276"/>
        <w:gridCol w:w="406"/>
        <w:gridCol w:w="3961"/>
      </w:tblGrid>
      <w:tr>
        <w:trPr/>
        <w:tc>
          <w:tcPr>
            <w:tcW w:w="12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right"/>
              <w:rPr/>
            </w:pPr>
            <w:r>
              <w:rPr/>
              <w:t> </w:t>
            </w:r>
            <w:r>
              <w:rPr>
                <w:rFonts w:ascii="Times New Roman;Times;serif" w:hAnsi="Times New Roman;Times;serif"/>
                <w:sz w:val="20"/>
              </w:rPr>
              <w:t>Dillard’s, Inc.</w:t>
            </w:r>
          </w:p>
        </w:tc>
        <w:tc>
          <w:tcPr>
            <w:tcW w:w="406" w:type="dxa"/>
            <w:tcBorders/>
            <w:vAlign w:val="center"/>
          </w:tcPr>
          <w:p>
            <w:pPr>
              <w:pStyle w:val="TableContents"/>
              <w:bidi w:val="0"/>
              <w:spacing w:before="0" w:after="0"/>
              <w:ind w:left="0" w:right="0" w:hanging="0"/>
              <w:jc w:val="left"/>
              <w:rPr/>
            </w:pPr>
            <w:r>
              <w:rPr/>
              <w:t>  ​ ​ ​</w:t>
            </w:r>
          </w:p>
        </w:tc>
        <w:tc>
          <w:tcPr>
            <w:tcW w:w="3961"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Phillip R. Watts</w:t>
            </w:r>
          </w:p>
        </w:tc>
      </w:tr>
      <w:tr>
        <w:trPr/>
        <w:tc>
          <w:tcPr>
            <w:tcW w:w="12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Phillip R. Watts</w:t>
            </w:r>
          </w:p>
        </w:tc>
      </w:tr>
      <w:tr>
        <w:trPr/>
        <w:tc>
          <w:tcPr>
            <w:tcW w:w="12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Senior Vice President, Co-Principal Financial Officer</w:t>
            </w:r>
            <w:r>
              <w:rPr>
                <w:rFonts w:ascii="Times New Roman;Times;serif" w:hAnsi="Times New Roman;Times;serif"/>
                <w:sz w:val="18"/>
              </w:rPr>
              <w:br/>
            </w:r>
            <w:r>
              <w:rPr>
                <w:rFonts w:ascii="Times New Roman;Times;serif" w:hAnsi="Times New Roman;Times;serif"/>
                <w:i/>
                <w:sz w:val="18"/>
              </w:rPr>
              <w:t>and Principal Accounting Officer</w:t>
            </w:r>
          </w:p>
          <w:p>
            <w:pPr>
              <w:pStyle w:val="TableContents"/>
              <w:bidi w:val="0"/>
              <w:spacing w:before="0" w:after="0"/>
              <w:ind w:left="0" w:right="0" w:hanging="0"/>
              <w:jc w:val="center"/>
              <w:rPr/>
            </w:pPr>
            <w:r>
              <w:rPr/>
              <w:t>​</w:t>
            </w:r>
          </w:p>
        </w:tc>
      </w:tr>
      <w:tr>
        <w:trPr/>
        <w:tc>
          <w:tcPr>
            <w:tcW w:w="12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Chris B. Johnson</w:t>
            </w:r>
          </w:p>
        </w:tc>
      </w:tr>
      <w:tr>
        <w:trPr/>
        <w:tc>
          <w:tcPr>
            <w:tcW w:w="12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Chris B. Johnson</w:t>
            </w:r>
          </w:p>
        </w:tc>
      </w:tr>
      <w:tr>
        <w:trPr/>
        <w:tc>
          <w:tcPr>
            <w:tcW w:w="12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Senior Vice President and Co-Principal Financial</w:t>
            </w:r>
            <w:r>
              <w:rPr>
                <w:rFonts w:ascii="Times New Roman;Times;serif" w:hAnsi="Times New Roman;Times;serif"/>
                <w:sz w:val="18"/>
              </w:rPr>
              <w:br/>
            </w:r>
            <w:r>
              <w:rPr>
                <w:rFonts w:ascii="Times New Roman;Times;serif" w:hAnsi="Times New Roman;Times;serif"/>
                <w:i/>
                <w:sz w:val="18"/>
              </w:rPr>
              <w:t>Officer</w:t>
            </w:r>
          </w:p>
        </w:tc>
      </w:tr>
    </w:tbl>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March 27, 2026</w:t>
        <w:b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Pursuant to the requirements of the Securities Exchange Act of 1934, this report has been signed below by the following persons on behalf of the Registrant and in the capacities and on the date indicated.</w:t>
      </w:r>
    </w:p>
    <w:p>
      <w:pPr>
        <w:pStyle w:val="TextBody"/>
        <w:bidi w:val="0"/>
        <w:spacing w:before="0" w:after="240"/>
        <w:ind w:left="0" w:right="0" w:firstLine="360"/>
        <w:jc w:val="left"/>
        <w:rPr/>
      </w:pPr>
      <w:r>
        <w:rPr/>
        <w:t>​</w:t>
      </w:r>
    </w:p>
    <w:tbl>
      <w:tblPr>
        <w:tblW w:w="8073" w:type="dxa"/>
        <w:jc w:val="left"/>
        <w:tblInd w:w="0" w:type="dxa"/>
        <w:tblLayout w:type="fixed"/>
        <w:tblCellMar>
          <w:top w:w="0" w:type="dxa"/>
          <w:left w:w="0" w:type="dxa"/>
          <w:bottom w:w="0" w:type="dxa"/>
          <w:right w:w="0" w:type="dxa"/>
        </w:tblCellMar>
      </w:tblPr>
      <w:tblGrid>
        <w:gridCol w:w="3766"/>
        <w:gridCol w:w="346"/>
        <w:gridCol w:w="396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91410" cy="175260"/>
                      <wp:effectExtent l="0" t="0" r="0" b="0"/>
                      <wp:wrapNone/>
                      <wp:docPr id="248" name="Frame247"/>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515235" cy="175260"/>
                      <wp:effectExtent l="0" t="0" r="0" b="0"/>
                      <wp:wrapNone/>
                      <wp:docPr id="249" name="Frame24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William Dillard, II</w:t>
            </w:r>
          </w:p>
        </w:tc>
        <w:tc>
          <w:tcPr>
            <w:tcW w:w="346" w:type="dxa"/>
            <w:tcBorders/>
            <w:vAlign w:val="center"/>
          </w:tcPr>
          <w:p>
            <w:pPr>
              <w:pStyle w:val="TableContents"/>
              <w:bidi w:val="0"/>
              <w:spacing w:before="0" w:after="0"/>
              <w:ind w:left="0" w:right="0" w:hanging="0"/>
              <w:jc w:val="left"/>
              <w:rPr/>
            </w:pPr>
            <w:r>
              <w:rPr/>
              <w:t>  ​ ​ ​</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Chris B. Johnson</w:t>
            </w:r>
          </w:p>
        </w:tc>
      </w:tr>
      <w:tr>
        <w:trPr/>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William Dillard, II</w:t>
            </w:r>
          </w:p>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Chairman of the Board and Chief Executive Officer</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(Principal Executive Officer)</w:t>
              <w:br/>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Chris B. Johnson</w:t>
            </w:r>
          </w:p>
          <w:p>
            <w:pPr>
              <w:pStyle w:val="TableContents"/>
              <w:bidi w:val="0"/>
              <w:spacing w:before="0" w:after="0"/>
              <w:ind w:left="0" w:right="0" w:hanging="0"/>
              <w:jc w:val="center"/>
              <w:rPr>
                <w:rFonts w:ascii="Times New Roman;Times;serif" w:hAnsi="Times New Roman;Times;serif"/>
                <w:b w:val="false"/>
                <w:i/>
                <w:caps w:val="false"/>
                <w:smallCaps w:val="false"/>
                <w:color w:val="000000"/>
                <w:sz w:val="18"/>
              </w:rPr>
            </w:pPr>
            <w:r>
              <w:rPr>
                <w:rFonts w:ascii="Times New Roman;Times;serif" w:hAnsi="Times New Roman;Times;serif"/>
                <w:b w:val="false"/>
                <w:i/>
                <w:caps w:val="false"/>
                <w:smallCaps w:val="false"/>
                <w:color w:val="000000"/>
                <w:sz w:val="18"/>
              </w:rPr>
              <w:t>Senior Vice President and Co-Principal Financial</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8"/>
              </w:rPr>
              <w:t>Officer</w:t>
              <w:br/>
            </w:r>
            <w:r>
              <w:rPr>
                <w:rFonts w:ascii="Times New Roman;Times;serif" w:hAnsi="Times New Roman;Times;serif"/>
                <w:b w:val="false"/>
                <w:i w:val="false"/>
                <w:caps w:val="false"/>
                <w:smallCaps w:val="false"/>
                <w:color w:val="000000"/>
                <w:sz w:val="18"/>
              </w:rPr>
              <w:t>​</w: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Alex Dillard</w:t>
            </w:r>
          </w:p>
        </w:tc>
        <w:tc>
          <w:tcPr>
            <w:tcW w:w="346"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Phillip R. Watts</w:t>
            </w:r>
          </w:p>
        </w:tc>
      </w:tr>
      <w:tr>
        <w:trPr/>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Alex Dillard</w:t>
            </w:r>
          </w:p>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President and Director</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Phillip R. Watts</w:t>
            </w:r>
          </w:p>
          <w:p>
            <w:pPr>
              <w:pStyle w:val="TableContents"/>
              <w:bidi w:val="0"/>
              <w:spacing w:before="0" w:after="0"/>
              <w:ind w:left="0" w:right="0" w:hanging="0"/>
              <w:jc w:val="center"/>
              <w:rPr>
                <w:rFonts w:ascii="Times New Roman;Times;serif" w:hAnsi="Times New Roman;Times;serif"/>
                <w:b w:val="false"/>
                <w:i/>
                <w:caps w:val="false"/>
                <w:smallCaps w:val="false"/>
                <w:color w:val="000000"/>
                <w:sz w:val="18"/>
              </w:rPr>
            </w:pPr>
            <w:r>
              <w:rPr>
                <w:rFonts w:ascii="Times New Roman;Times;serif" w:hAnsi="Times New Roman;Times;serif"/>
                <w:b w:val="false"/>
                <w:i/>
                <w:caps w:val="false"/>
                <w:smallCaps w:val="false"/>
                <w:color w:val="000000"/>
                <w:sz w:val="18"/>
              </w:rPr>
              <w:t>Senior Vice President, Co-Principal Financial Officer</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8"/>
              </w:rPr>
              <w:t>and Principal Accounting Officer</w:t>
              <w:br/>
            </w:r>
            <w:r>
              <w:rPr>
                <w:rFonts w:ascii="Times New Roman;Times;serif" w:hAnsi="Times New Roman;Times;serif"/>
                <w:b w:val="false"/>
                <w:i w:val="false"/>
                <w:caps w:val="false"/>
                <w:smallCaps w:val="false"/>
                <w:color w:val="000000"/>
                <w:sz w:val="18"/>
              </w:rPr>
              <w:t>​</w: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Mike Dillard</w:t>
            </w:r>
          </w:p>
        </w:tc>
        <w:tc>
          <w:tcPr>
            <w:tcW w:w="346"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Drue Matheny</w:t>
            </w:r>
          </w:p>
        </w:tc>
      </w:tr>
      <w:tr>
        <w:trPr/>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Mike Dillard</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Executive Vice President and Director</w:t>
              <w:br/>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Drue Matheny</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8"/>
              </w:rPr>
              <w:t>Executive Vice President and Director</w:t>
              <w:br/>
            </w:r>
            <w:r>
              <w:rPr>
                <w:rFonts w:ascii="Times New Roman;Times;serif" w:hAnsi="Times New Roman;Times;serif"/>
                <w:b w:val="false"/>
                <w:i w:val="false"/>
                <w:caps w:val="false"/>
                <w:smallCaps w:val="false"/>
                <w:color w:val="000000"/>
                <w:sz w:val="18"/>
              </w:rPr>
              <w:t>​</w: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Denise Mahaffy</w:t>
            </w:r>
          </w:p>
        </w:tc>
        <w:tc>
          <w:tcPr>
            <w:tcW w:w="346"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William Dillard, III</w:t>
            </w:r>
          </w:p>
        </w:tc>
      </w:tr>
      <w:tr>
        <w:trPr/>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Denise Mahaffy</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Senior Vice President and Director</w:t>
              <w:br/>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William Dillard, III</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8"/>
              </w:rPr>
              <w:t>Senior Vice President and Director</w:t>
              <w:br/>
            </w:r>
            <w:r>
              <w:rPr>
                <w:rFonts w:ascii="Times New Roman;Times;serif" w:hAnsi="Times New Roman;Times;serif"/>
                <w:b w:val="false"/>
                <w:i w:val="false"/>
                <w:caps w:val="false"/>
                <w:smallCaps w:val="false"/>
                <w:color w:val="000000"/>
                <w:sz w:val="18"/>
              </w:rPr>
              <w:t>​</w: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Robert C. Connor</w:t>
            </w:r>
          </w:p>
        </w:tc>
        <w:tc>
          <w:tcPr>
            <w:tcW w:w="346"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William E. Connor, II</w:t>
            </w:r>
          </w:p>
        </w:tc>
      </w:tr>
      <w:tr>
        <w:trPr/>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Robert C. Connor</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Director</w:t>
              <w:br/>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William E. Connor, II</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8"/>
              </w:rPr>
              <w:t>Director</w:t>
              <w:br/>
            </w:r>
            <w:r>
              <w:rPr>
                <w:rFonts w:ascii="Times New Roman;Times;serif" w:hAnsi="Times New Roman;Times;serif"/>
                <w:b w:val="false"/>
                <w:i w:val="false"/>
                <w:caps w:val="false"/>
                <w:smallCaps w:val="false"/>
                <w:color w:val="000000"/>
                <w:sz w:val="18"/>
              </w:rPr>
              <w:t>​</w: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James I. Freeman</w:t>
            </w:r>
          </w:p>
        </w:tc>
        <w:tc>
          <w:tcPr>
            <w:tcW w:w="346"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H. Lee Hastings, III</w:t>
            </w:r>
          </w:p>
        </w:tc>
      </w:tr>
      <w:tr>
        <w:trPr/>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James I. Freeman</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Director</w:t>
              <w:br/>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H. Lee Hastings, III</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8"/>
              </w:rPr>
              <w:t>Director</w:t>
              <w:br/>
            </w:r>
            <w:r>
              <w:rPr>
                <w:rFonts w:ascii="Times New Roman;Times;serif" w:hAnsi="Times New Roman;Times;serif"/>
                <w:b w:val="false"/>
                <w:i w:val="false"/>
                <w:caps w:val="false"/>
                <w:smallCaps w:val="false"/>
                <w:color w:val="000000"/>
                <w:sz w:val="18"/>
              </w:rPr>
              <w:t>​</w: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Rob C. Holmes</w:t>
            </w:r>
          </w:p>
        </w:tc>
        <w:tc>
          <w:tcPr>
            <w:tcW w:w="346"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Reynie Rutledge</w:t>
            </w:r>
          </w:p>
        </w:tc>
      </w:tr>
      <w:tr>
        <w:trPr/>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Rob C. Holmes</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Director</w:t>
              <w:br/>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8"/>
              </w:rPr>
              <w:t>Reynie Rutledge</w:t>
            </w:r>
          </w:p>
          <w:p>
            <w:pPr>
              <w:pStyle w:val="TableContents"/>
              <w:bidi w:val="0"/>
              <w:spacing w:before="0" w:after="0"/>
              <w:ind w:left="0" w:right="0" w:hanging="0"/>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8"/>
              </w:rPr>
              <w:t>Director</w:t>
              <w:br/>
            </w:r>
            <w:r>
              <w:rPr>
                <w:rFonts w:ascii="Times New Roman;Times;serif" w:hAnsi="Times New Roman;Times;serif"/>
                <w:b w:val="false"/>
                <w:i w:val="false"/>
                <w:caps w:val="false"/>
                <w:smallCaps w:val="false"/>
                <w:color w:val="000000"/>
                <w:sz w:val="18"/>
              </w:rPr>
              <w:t>​</w: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J.C. Watts, Jr.</w:t>
            </w:r>
          </w:p>
        </w:tc>
        <w:tc>
          <w:tcPr>
            <w:tcW w:w="346"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 Nick White</w:t>
            </w:r>
          </w:p>
        </w:tc>
      </w:tr>
      <w:tr>
        <w:trPr/>
        <w:tc>
          <w:tcPr>
            <w:tcW w:w="37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J.C. Watts, Jr.</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Director</w:t>
              <w:br/>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 </w:t>
            </w:r>
          </w:p>
        </w:tc>
        <w:tc>
          <w:tcPr>
            <w:tcW w:w="39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Nick White</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Director</w:t>
              <w:br/>
            </w:r>
            <w:r>
              <w:rPr>
                <w:rFonts w:ascii="Times New Roman;Times;serif" w:hAnsi="Times New Roman;Times;serif"/>
                <w:sz w:val="18"/>
              </w:rPr>
              <w:t>​</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Date: March 27,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7" w:name="_713e7cce_d1de_4257_957f_b6fada7844d7"/>
      <w:bookmarkEnd w:id="107"/>
      <w:r>
        <w:rPr>
          <w:rFonts w:ascii="Times New Roman;Times;serif" w:hAnsi="Times New Roman;Times;serif"/>
          <w:b/>
          <w:sz w:val="20"/>
        </w:rPr>
        <w:t>INDEX OF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DILLARD’S, INC.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Year Ended January 31, 2026</w:t>
      </w:r>
    </w:p>
    <w:tbl>
      <w:tblPr>
        <w:tblW w:w="10205" w:type="dxa"/>
        <w:jc w:val="left"/>
        <w:tblInd w:w="0" w:type="dxa"/>
        <w:tblLayout w:type="fixed"/>
        <w:tblCellMar>
          <w:top w:w="0" w:type="dxa"/>
          <w:left w:w="0" w:type="dxa"/>
          <w:bottom w:w="0" w:type="dxa"/>
          <w:right w:w="0" w:type="dxa"/>
        </w:tblCellMar>
      </w:tblPr>
      <w:tblGrid>
        <w:gridCol w:w="9664"/>
        <w:gridCol w:w="541"/>
      </w:tblGrid>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43535" cy="175260"/>
                      <wp:effectExtent l="0" t="0" r="0" b="0"/>
                      <wp:wrapNone/>
                      <wp:docPr id="250" name="Frame24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9664"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(KPMG LLP, Dallas, TX, Auditor Firm ID: 185)</w:t>
            </w:r>
          </w:p>
        </w:tc>
        <w:tc>
          <w:tcPr>
            <w:tcW w:w="54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664" w:type="dxa"/>
            <w:tcBorders/>
            <w:vAlign w:val="center"/>
          </w:tcPr>
          <w:p>
            <w:pPr>
              <w:pStyle w:val="TableContents"/>
              <w:bidi w:val="0"/>
              <w:spacing w:before="0" w:after="0"/>
              <w:ind w:left="0" w:right="0" w:hanging="0"/>
              <w:jc w:val="left"/>
              <w:rPr/>
            </w:pPr>
            <w:hyperlink w:anchor="ConsolidatedBalanceSheets_137063">
              <w:r>
                <w:rPr>
                  <w:rStyle w:val="InternetLink"/>
                  <w:rFonts w:ascii="Times New Roman;Times;serif" w:hAnsi="Times New Roman;Times;serif"/>
                  <w:b w:val="false"/>
                  <w:i w:val="false"/>
                  <w:caps w:val="false"/>
                  <w:smallCaps w:val="false"/>
                  <w:sz w:val="20"/>
                </w:rPr>
                <w:t>Consolidated Balance Sheets—January 31, 2026 and February 1, 2025</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664" w:type="dxa"/>
            <w:tcBorders/>
            <w:vAlign w:val="center"/>
          </w:tcPr>
          <w:p>
            <w:pPr>
              <w:pStyle w:val="TableContents"/>
              <w:pBdr/>
              <w:bidi w:val="0"/>
              <w:spacing w:before="0" w:after="0"/>
              <w:ind w:left="0" w:right="0" w:hanging="0"/>
              <w:jc w:val="left"/>
              <w:rPr/>
            </w:pPr>
            <w:hyperlink w:anchor="ConsolidatedStatementsofOperations_96540">
              <w:r>
                <w:rPr>
                  <w:rStyle w:val="InternetLink"/>
                  <w:rFonts w:ascii="Times New Roman;Times;serif" w:hAnsi="Times New Roman;Times;serif"/>
                  <w:b w:val="false"/>
                  <w:i w:val="false"/>
                  <w:caps w:val="false"/>
                  <w:smallCaps w:val="false"/>
                  <w:sz w:val="20"/>
                </w:rPr>
                <w:t>Consolidated Statements of Income—Fiscal years ended January 31, 2026, February 1, 2025 and February 3, 2024</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664"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Income—Fiscal years ended January 31, 2026, February 1, 2025 and February 3, 2024</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664" w:type="dxa"/>
            <w:tcBorders/>
            <w:vAlign w:val="center"/>
          </w:tcPr>
          <w:p>
            <w:pPr>
              <w:pStyle w:val="TableContents"/>
              <w:pBdr/>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Equity—Fiscal years ended January 31, 2026, February 1, 2025 and February 3, 2024</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664" w:type="dxa"/>
            <w:tcBorders/>
            <w:vAlign w:val="center"/>
          </w:tcPr>
          <w:p>
            <w:pPr>
              <w:pStyle w:val="TableContents"/>
              <w:pBdr/>
              <w:bidi w:val="0"/>
              <w:spacing w:before="0" w:after="0"/>
              <w:ind w:left="0" w:right="0" w:hanging="0"/>
              <w:jc w:val="left"/>
              <w:rPr/>
            </w:pPr>
            <w:hyperlink w:anchor="ConsolidatedStatementsofCashFlows_643449">
              <w:r>
                <w:rPr>
                  <w:rStyle w:val="InternetLink"/>
                  <w:rFonts w:ascii="Times New Roman;Times;serif" w:hAnsi="Times New Roman;Times;serif"/>
                  <w:b w:val="false"/>
                  <w:i w:val="false"/>
                  <w:caps w:val="false"/>
                  <w:smallCaps w:val="false"/>
                  <w:sz w:val="20"/>
                </w:rPr>
                <w:t>Consolidated Statements of Cash Flows—Fiscal years ended January 31, 2026, February 1, 2025 and February 3, 2024</w:t>
              </w:r>
            </w:hyperlink>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664" w:type="dxa"/>
            <w:tcBorders/>
            <w:vAlign w:val="center"/>
          </w:tcPr>
          <w:p>
            <w:pPr>
              <w:pStyle w:val="TableContents"/>
              <w:pBdr/>
              <w:bidi w:val="0"/>
              <w:spacing w:before="0" w:after="0"/>
              <w:ind w:left="0" w:right="0" w:hanging="0"/>
              <w:jc w:val="left"/>
              <w:rPr/>
            </w:pPr>
            <w:hyperlink w:anchor="NotestoConsolidatedFinancialStatements_9">
              <w:r>
                <w:rPr>
                  <w:rStyle w:val="InternetLink"/>
                  <w:rFonts w:ascii="Times New Roman;Times;serif" w:hAnsi="Times New Roman;Times;serif"/>
                  <w:b w:val="false"/>
                  <w:i w:val="false"/>
                  <w:caps w:val="false"/>
                  <w:smallCaps w:val="false"/>
                  <w:sz w:val="20"/>
                </w:rPr>
                <w:t>Notes to Consolidated Financial Statements—Fiscal years ended January 31, 2026, February 1, 2025 and February 3, 2024</w:t>
              </w:r>
            </w:hyperlink>
          </w:p>
        </w:tc>
        <w:tc>
          <w:tcPr>
            <w:tcW w:w="541" w:type="dxa"/>
            <w:tcBorders/>
            <w:vAlign w:val="center"/>
          </w:tcPr>
          <w:p>
            <w:pPr>
              <w:pStyle w:val="TableContents"/>
              <w:bidi w:val="0"/>
              <w:spacing w:before="0" w:after="0"/>
              <w:ind w:left="18" w:right="0" w:hanging="0"/>
              <w:jc w:val="right"/>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8" w:name="REPORTOFINDEPENDENTREGISTEREDPUBLICACCOU"/>
      <w:bookmarkStart w:id="109" w:name="_c1c0120a_dc44_4860_9ffb_c0c98b7f483a"/>
      <w:bookmarkEnd w:id="108"/>
      <w:bookmarkEnd w:id="109"/>
      <w:r>
        <w:rPr>
          <w:rFonts w:ascii="Times New Roman;Times;serif" w:hAnsi="Times New Roman;Times;serif"/>
          <w:b/>
          <w:sz w:val="20"/>
        </w:rPr>
        <w:t>REPORT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Stockholders and Board of Directors</w:t>
        <w:br/>
        <w:t>Dillard's, Inc.:</w:t>
      </w:r>
    </w:p>
    <w:p>
      <w:pPr>
        <w:pStyle w:val="TextBody"/>
        <w:bidi w:val="0"/>
        <w:ind w:left="0" w:right="0" w:hanging="0"/>
        <w:jc w:val="left"/>
        <w:rPr>
          <w:rFonts w:ascii="Times New Roman;Times;serif" w:hAnsi="Times New Roman;Times;serif"/>
          <w:i/>
          <w:sz w:val="20"/>
        </w:rPr>
      </w:pPr>
      <w:r>
        <w:rPr>
          <w:rFonts w:ascii="Times New Roman;Times;serif" w:hAnsi="Times New Roman;Times;serif"/>
          <w:i/>
          <w:sz w:val="20"/>
        </w:rPr>
        <w:t>Opinions on the Consolidated Financial Statements and Internal Control Over Financial Reporting</w:t>
      </w:r>
    </w:p>
    <w:p>
      <w:pPr>
        <w:pStyle w:val="TextBody"/>
        <w:bidi w:val="0"/>
        <w:spacing w:before="0" w:after="200"/>
        <w:ind w:left="0" w:right="0" w:hanging="0"/>
        <w:jc w:val="left"/>
        <w:rPr>
          <w:rFonts w:ascii="Times New Roman;Times;serif" w:hAnsi="Times New Roman;Times;serif"/>
          <w:sz w:val="20"/>
        </w:rPr>
      </w:pPr>
      <w:bookmarkStart w:id="110" w:name="_4"/>
      <w:bookmarkStart w:id="111" w:name="_3"/>
      <w:bookmarkStart w:id="112" w:name="_2"/>
      <w:bookmarkStart w:id="113" w:name="_1"/>
      <w:bookmarkStart w:id="114" w:name="_0"/>
      <w:bookmarkEnd w:id="110"/>
      <w:bookmarkEnd w:id="111"/>
      <w:bookmarkEnd w:id="112"/>
      <w:bookmarkEnd w:id="113"/>
      <w:bookmarkEnd w:id="114"/>
      <w:r>
        <w:rPr>
          <w:rFonts w:ascii="Times New Roman;Times;serif" w:hAnsi="Times New Roman;Times;serif"/>
          <w:sz w:val="20"/>
        </w:rPr>
        <w:t xml:space="preserve">We have audited the accompanying consolidated balance sheets of Dillard's, Inc. and subsidiaries (the Company) as of January 31, 2026 and February 1, 2025, the related consolidated statements of income, comprehensive income, stockholders’ equity, and cash flows for each of the fiscal years in the three-year period ended January 31, 2026, and the related notes (collectively, the consolidated financial statements). We also have audited the Company’s internal control over financial reporting as of January 31, 2026,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w:t>
      </w:r>
    </w:p>
    <w:p>
      <w:pPr>
        <w:pStyle w:val="TextBody"/>
        <w:bidi w:val="0"/>
        <w:spacing w:before="0" w:after="200"/>
        <w:ind w:left="0" w:right="0" w:hanging="0"/>
        <w:jc w:val="left"/>
        <w:rPr>
          <w:rFonts w:ascii="Times New Roman;Times;serif" w:hAnsi="Times New Roman;Times;serif"/>
          <w:sz w:val="20"/>
        </w:rPr>
      </w:pPr>
      <w:bookmarkStart w:id="115" w:name="_5"/>
      <w:bookmarkEnd w:id="115"/>
      <w:r>
        <w:rPr>
          <w:rFonts w:ascii="Times New Roman;Times;serif" w:hAnsi="Times New Roman;Times;serif"/>
          <w:sz w:val="20"/>
        </w:rPr>
        <w:t xml:space="preserve">In our opinion, the consolidated financial statements referred to above present fairly, in all material respects, the financial position of the Company as of January 31, 2026 and February 1, 2025, and the results of its operations and its cash flows for each of the fiscal years in the three-year period ended January 31, 2026, in conformity with U.S. generally accepted accounting principles. Also in our opinion, the Company maintained, in all material respects, effective internal control over financial reporting as of January 31, 2026 based on criteria established in </w:t>
      </w:r>
      <w:r>
        <w:rPr>
          <w:rFonts w:ascii="Times New Roman;Times;serif" w:hAnsi="Times New Roman;Times;serif"/>
          <w:i/>
          <w:sz w:val="20"/>
        </w:rPr>
        <w:t>Internal Control – Integrated Framework (2013)</w:t>
      </w:r>
      <w:r>
        <w:rPr>
          <w:rFonts w:ascii="Times New Roman;Times;serif" w:hAnsi="Times New Roman;Times;serif"/>
          <w:sz w:val="20"/>
        </w:rPr>
        <w:t xml:space="preserve"> issued by the Committee of Sponsoring Organizations of the Treadway Commission.</w:t>
      </w:r>
    </w:p>
    <w:p>
      <w:pPr>
        <w:pStyle w:val="TextBody"/>
        <w:bidi w:val="0"/>
        <w:ind w:left="0" w:right="0" w:hanging="0"/>
        <w:jc w:val="left"/>
        <w:rPr>
          <w:rFonts w:ascii="Times New Roman;Times;serif" w:hAnsi="Times New Roman;Times;serif"/>
          <w:i/>
          <w:sz w:val="20"/>
        </w:rPr>
      </w:pPr>
      <w:r>
        <w:rPr>
          <w:rFonts w:ascii="Times New Roman;Times;serif" w:hAnsi="Times New Roman;Times;serif"/>
          <w:i/>
          <w:sz w:val="20"/>
        </w:rPr>
        <w:t>Basis for Opinions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ind w:left="0" w:right="0" w:hanging="0"/>
        <w:jc w:val="left"/>
        <w:rPr>
          <w:rFonts w:ascii="Times New Roman;Times;serif" w:hAnsi="Times New Roman;Times;serif"/>
          <w:i/>
          <w:sz w:val="20"/>
        </w:rPr>
      </w:pPr>
      <w:r>
        <w:rPr>
          <w:rFonts w:ascii="Times New Roman;Times;serif" w:hAnsi="Times New Roman;Times;serif"/>
          <w:i/>
          <w:sz w:val="20"/>
        </w:rPr>
        <w:t>Definition and Limitations of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ind w:left="0" w:right="0" w:hanging="0"/>
        <w:jc w:val="left"/>
        <w:rPr>
          <w:rFonts w:ascii="Times New Roman;Times;serif" w:hAnsi="Times New Roman;Times;serif"/>
          <w:i/>
          <w:sz w:val="20"/>
        </w:rPr>
      </w:pPr>
      <w:r>
        <w:rPr>
          <w:rFonts w:ascii="Times New Roman;Times;serif" w:hAnsi="Times New Roman;Times;serif"/>
          <w:i/>
          <w:sz w:val="20"/>
        </w:rPr>
        <w:t>Critical Audit Matter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ind w:left="360" w:right="0" w:hanging="0"/>
        <w:jc w:val="left"/>
        <w:rPr>
          <w:rFonts w:ascii="Times New Roman;Times;serif" w:hAnsi="Times New Roman;Times;serif"/>
          <w:i/>
          <w:sz w:val="20"/>
        </w:rPr>
      </w:pPr>
      <w:bookmarkStart w:id="116" w:name="_6"/>
      <w:bookmarkEnd w:id="116"/>
      <w:r>
        <w:rPr>
          <w:rFonts w:ascii="Times New Roman;Times;serif" w:hAnsi="Times New Roman;Times;serif"/>
          <w:i/>
          <w:sz w:val="20"/>
        </w:rPr>
        <w:t>Pension Plan projected benefit obligation</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As discussed in Notes 1 and 8 to the consolidated financial statements, the Company had an unfunded, non-qualified defined benefit plan (Pension Plan) with a projected benefit obligation of $314.0 million as of January 31, 2026. The Pension Plan’s costs are accounted for using actuarial valuations. The discount rate that the Company utilizes for determining the projected benefit obligation is based on the FTSE Above Median Pension yield curve as of the end of each fiscal year.</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 xml:space="preserve">We identified the evaluation of the Company’s measurement of the Pension Plan projected benefit obligation as a critical audit matter. Subjective auditor judgment was required to evaluate the discount rate used to determine the projected benefit obligation, as minor changes in the rate could have a significant impact on the projected benefit obligation. Additionally, the assessment of the discount rate required specialized actuarial skills and knowledge. </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The following are the primary procedures we performed to address the critical audit matter. We evaluated the design and tested the operating effectiveness of certain internal controls related to the Company’s benefit obligation process, including a control related to the actuarial determination of the discount rate used in the measurement of the projected benefit obligation. Additionally, we involved an actuarial professional with specialized skills and knowledge, who assisted in the evaluation of the Company’s discount rate by:</w:t>
      </w:r>
    </w:p>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changes in the discount rate from the prior year against changes in published indices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management’s methodology for determining the discount rate that reflects the maturity and duration of the benefit payments and is used to measure the projected benefit obligation</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selected yield curve and its consistency with the prior year and spot rate.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KPMG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Dallas, Texas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27,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7" w:name="ConsolidatedBalanceSheets_137063"/>
      <w:bookmarkStart w:id="118" w:name="_752cc979_d356_4a7b_95d4_d028a4d333f6"/>
      <w:bookmarkEnd w:id="117"/>
      <w:bookmarkEnd w:id="118"/>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Normal"/>
        <w:bidi w:val="0"/>
        <w:spacing w:before="0" w:after="0"/>
        <w:jc w:val="left"/>
        <w:rPr>
          <w:sz w:val="4"/>
          <w:szCs w:val="4"/>
        </w:rPr>
      </w:pPr>
      <w:r>
        <w:rPr>
          <w:sz w:val="4"/>
          <w:szCs w:val="4"/>
        </w:rPr>
      </w:r>
      <w:bookmarkStart w:id="119" w:name="Tc_Tn_zJJ4SGkqJXDSZgObO-Q_43_4"/>
      <w:bookmarkStart w:id="120" w:name="Tc_qrUz9aOdDUanp8C88am-Mg_43_1"/>
      <w:bookmarkStart w:id="121" w:name="Tc_54nIOypIb0G8T9RnjIHGgA_43_0"/>
      <w:bookmarkStart w:id="122" w:name="Tc_v7hoYqzAMUqcijlC5XPxGg_42_0"/>
      <w:bookmarkStart w:id="123" w:name="Tc_Vvan0QfrPEKS6_IGMgX-YA_41_0"/>
      <w:bookmarkStart w:id="124" w:name="Tc_acYLFHngckOn5tluIxqwjA_40_0"/>
      <w:bookmarkStart w:id="125" w:name="Tc_QZFae7Qydk6y1_PmtzG-gQ_39_0"/>
      <w:bookmarkStart w:id="126" w:name="Tc_S3Y71iogjEyDpP3d7IOBzg_38_0"/>
      <w:bookmarkStart w:id="127" w:name="Tc_7vFD_F3DjUmx11ic5V1w_g_37_0"/>
      <w:bookmarkStart w:id="128" w:name="Tc_KJdzrUKk0UyG8lDvwGTViQ_36_0"/>
      <w:bookmarkStart w:id="129" w:name="Tc_OTaWH5MBiEW2ZjJBoRpD_w_35_0"/>
      <w:bookmarkStart w:id="130" w:name="Tc_O8RxrTOXUkKq9lZRAgvicg_34_0"/>
      <w:bookmarkStart w:id="131" w:name="Tc_pgfdwefeQUOXuNx90dxItw_33_0"/>
      <w:bookmarkStart w:id="132" w:name="Tc_XTRBr5cqAkOOY4L2EG9Y-Q_32_0"/>
      <w:bookmarkStart w:id="133" w:name="Tc_bZqO3wqEokGbaKnaEZXuPg_31_0"/>
      <w:bookmarkStart w:id="134" w:name="Tc_enKn3Y8Z1U-fPsx95rJnAQ_30_0"/>
      <w:bookmarkStart w:id="135" w:name="Tc_lyLmgBKIeESVySmhHYgg1Q_29_0"/>
      <w:bookmarkStart w:id="136" w:name="Tc_Hunw4SIB3kSLy2NSHEkaiA_28_0"/>
      <w:bookmarkStart w:id="137" w:name="Tc_iM4VP4eTVUWlV-m2e55I4w_27_0"/>
      <w:bookmarkStart w:id="138" w:name="Tc_7Y-h6hiLwEWfSezUwr-JCg_26_5"/>
      <w:bookmarkStart w:id="139" w:name="Tc_e8JJM08cSEeDy3Tw4Acitw_26_0"/>
      <w:bookmarkStart w:id="140" w:name="Tc_8_zcRAgwhEmHh4s3VAzAEw_25_4"/>
      <w:bookmarkStart w:id="141" w:name="Tc_2dR5PV-SOkCm-ZVMaPbZjQ_25_1"/>
      <w:bookmarkStart w:id="142" w:name="Tc_zWRGAmOrckmlgHUsldpr6A_25_0"/>
      <w:bookmarkStart w:id="143" w:name="Tc_jhzCC5VSAkelBbiKChj74A_24_0"/>
      <w:bookmarkStart w:id="144" w:name="Tc_SgFemENwEUWj-05kvIbDFg_23_0"/>
      <w:bookmarkStart w:id="145" w:name="Tc_ZQaXchqKq0mXFeztTXQFmw_21_4"/>
      <w:bookmarkStart w:id="146" w:name="Tc_y5eRl98Xj0-eSN-9ZnntbA_21_1"/>
      <w:bookmarkStart w:id="147" w:name="Tc_wdsPdz9Zo0S22kZwhp0q2A_21_0"/>
      <w:bookmarkStart w:id="148" w:name="Tc_Ua5ZiH-mj0idwKBL6egHcQ_20_0"/>
      <w:bookmarkStart w:id="149" w:name="Tc_cVgi7foh102jH5cjhpL2dg_19_0"/>
      <w:bookmarkStart w:id="150" w:name="Tc_HbCeGGbbdUKj9L3k5R1OAg_18_0"/>
      <w:bookmarkStart w:id="151" w:name="Tc_f1oOgyRbwEmy6T1ZvBT2Zw_16_0"/>
      <w:bookmarkStart w:id="152" w:name="Tc_FAyfXbUOgUGVoKDmdV2mcA_15_0"/>
      <w:bookmarkStart w:id="153" w:name="Tc_aTZ-YyIErUe8vk_kVj1LXQ_14_0"/>
      <w:bookmarkStart w:id="154" w:name="Tc_fwkqz0J-UUK38tU08nBsJQ_13_0"/>
      <w:bookmarkStart w:id="155" w:name="Tc_ljq-IKuQI06N-OqMyjqjzA_12_0"/>
      <w:bookmarkStart w:id="156" w:name="Tc_Qe52ddic_USKMT4ED_fbhg_11_0"/>
      <w:bookmarkStart w:id="157" w:name="Tc_xoq2pCJ13Um2OHSt_n8qnA_9_0"/>
      <w:bookmarkStart w:id="158" w:name="Tc_lH1xZtUSaUi9_UoW1_OTRg_8_0"/>
      <w:bookmarkStart w:id="159" w:name="Tc_c1RP96CHb0-G1j_M2opsrg_7_0"/>
      <w:bookmarkStart w:id="160" w:name="Tc_cSHVi-D7lkWI_Sm1srjgqA_6_0"/>
      <w:bookmarkStart w:id="161" w:name="Tc_QZRHuYu6okeZGNfhLxa4Hw_5_0"/>
      <w:bookmarkStart w:id="162" w:name="Tc_LwabaWVyG0ad_aU_WAGOWQ_4_4"/>
      <w:bookmarkStart w:id="163" w:name="Tc_KjH6K0OyKUSTUNQ44cxgtw_4_1"/>
      <w:bookmarkStart w:id="164" w:name="Tc_l__btHzlDk-FQix4sY7GKw_4_0"/>
      <w:bookmarkStart w:id="165" w:name="Tc_ck-adQL3Ika0yQjWIjIAng_3_0"/>
      <w:bookmarkStart w:id="166" w:name="Tc_GS1uUgAE9kWNQtv_oFkGxg_2_0"/>
      <w:bookmarkStart w:id="167" w:name="Tc_t3TncDwjiE2WfS6dPQoI5Q_1_4"/>
      <w:bookmarkStart w:id="168" w:name="Tc_fYb3J4fiv0SnOidmpA5mfw_1_1"/>
      <w:bookmarkStart w:id="169" w:name="_67174e01_bf74_49f6_948b_b3acb88de254"/>
      <w:bookmarkStart w:id="170" w:name="Tc_Tn_zJJ4SGkqJXDSZgObO-Q_43_4"/>
      <w:bookmarkStart w:id="171" w:name="Tc_qrUz9aOdDUanp8C88am-Mg_43_1"/>
      <w:bookmarkStart w:id="172" w:name="Tc_54nIOypIb0G8T9RnjIHGgA_43_0"/>
      <w:bookmarkStart w:id="173" w:name="Tc_v7hoYqzAMUqcijlC5XPxGg_42_0"/>
      <w:bookmarkStart w:id="174" w:name="Tc_Vvan0QfrPEKS6_IGMgX-YA_41_0"/>
      <w:bookmarkStart w:id="175" w:name="Tc_acYLFHngckOn5tluIxqwjA_40_0"/>
      <w:bookmarkStart w:id="176" w:name="Tc_QZFae7Qydk6y1_PmtzG-gQ_39_0"/>
      <w:bookmarkStart w:id="177" w:name="Tc_S3Y71iogjEyDpP3d7IOBzg_38_0"/>
      <w:bookmarkStart w:id="178" w:name="Tc_7vFD_F3DjUmx11ic5V1w_g_37_0"/>
      <w:bookmarkStart w:id="179" w:name="Tc_KJdzrUKk0UyG8lDvwGTViQ_36_0"/>
      <w:bookmarkStart w:id="180" w:name="Tc_OTaWH5MBiEW2ZjJBoRpD_w_35_0"/>
      <w:bookmarkStart w:id="181" w:name="Tc_O8RxrTOXUkKq9lZRAgvicg_34_0"/>
      <w:bookmarkStart w:id="182" w:name="Tc_pgfdwefeQUOXuNx90dxItw_33_0"/>
      <w:bookmarkStart w:id="183" w:name="Tc_XTRBr5cqAkOOY4L2EG9Y-Q_32_0"/>
      <w:bookmarkStart w:id="184" w:name="Tc_bZqO3wqEokGbaKnaEZXuPg_31_0"/>
      <w:bookmarkStart w:id="185" w:name="Tc_enKn3Y8Z1U-fPsx95rJnAQ_30_0"/>
      <w:bookmarkStart w:id="186" w:name="Tc_lyLmgBKIeESVySmhHYgg1Q_29_0"/>
      <w:bookmarkStart w:id="187" w:name="Tc_Hunw4SIB3kSLy2NSHEkaiA_28_0"/>
      <w:bookmarkStart w:id="188" w:name="Tc_iM4VP4eTVUWlV-m2e55I4w_27_0"/>
      <w:bookmarkStart w:id="189" w:name="Tc_7Y-h6hiLwEWfSezUwr-JCg_26_5"/>
      <w:bookmarkStart w:id="190" w:name="Tc_e8JJM08cSEeDy3Tw4Acitw_26_0"/>
      <w:bookmarkStart w:id="191" w:name="Tc_8_zcRAgwhEmHh4s3VAzAEw_25_4"/>
      <w:bookmarkStart w:id="192" w:name="Tc_2dR5PV-SOkCm-ZVMaPbZjQ_25_1"/>
      <w:bookmarkStart w:id="193" w:name="Tc_zWRGAmOrckmlgHUsldpr6A_25_0"/>
      <w:bookmarkStart w:id="194" w:name="Tc_jhzCC5VSAkelBbiKChj74A_24_0"/>
      <w:bookmarkStart w:id="195" w:name="Tc_SgFemENwEUWj-05kvIbDFg_23_0"/>
      <w:bookmarkStart w:id="196" w:name="Tc_ZQaXchqKq0mXFeztTXQFmw_21_4"/>
      <w:bookmarkStart w:id="197" w:name="Tc_y5eRl98Xj0-eSN-9ZnntbA_21_1"/>
      <w:bookmarkStart w:id="198" w:name="Tc_wdsPdz9Zo0S22kZwhp0q2A_21_0"/>
      <w:bookmarkStart w:id="199" w:name="Tc_Ua5ZiH-mj0idwKBL6egHcQ_20_0"/>
      <w:bookmarkStart w:id="200" w:name="Tc_cVgi7foh102jH5cjhpL2dg_19_0"/>
      <w:bookmarkStart w:id="201" w:name="Tc_HbCeGGbbdUKj9L3k5R1OAg_18_0"/>
      <w:bookmarkStart w:id="202" w:name="Tc_f1oOgyRbwEmy6T1ZvBT2Zw_16_0"/>
      <w:bookmarkStart w:id="203" w:name="Tc_FAyfXbUOgUGVoKDmdV2mcA_15_0"/>
      <w:bookmarkStart w:id="204" w:name="Tc_aTZ-YyIErUe8vk_kVj1LXQ_14_0"/>
      <w:bookmarkStart w:id="205" w:name="Tc_fwkqz0J-UUK38tU08nBsJQ_13_0"/>
      <w:bookmarkStart w:id="206" w:name="Tc_ljq-IKuQI06N-OqMyjqjzA_12_0"/>
      <w:bookmarkStart w:id="207" w:name="Tc_Qe52ddic_USKMT4ED_fbhg_11_0"/>
      <w:bookmarkStart w:id="208" w:name="Tc_xoq2pCJ13Um2OHSt_n8qnA_9_0"/>
      <w:bookmarkStart w:id="209" w:name="Tc_lH1xZtUSaUi9_UoW1_OTRg_8_0"/>
      <w:bookmarkStart w:id="210" w:name="Tc_c1RP96CHb0-G1j_M2opsrg_7_0"/>
      <w:bookmarkStart w:id="211" w:name="Tc_cSHVi-D7lkWI_Sm1srjgqA_6_0"/>
      <w:bookmarkStart w:id="212" w:name="Tc_QZRHuYu6okeZGNfhLxa4Hw_5_0"/>
      <w:bookmarkStart w:id="213" w:name="Tc_LwabaWVyG0ad_aU_WAGOWQ_4_4"/>
      <w:bookmarkStart w:id="214" w:name="Tc_KjH6K0OyKUSTUNQ44cxgtw_4_1"/>
      <w:bookmarkStart w:id="215" w:name="Tc_l__btHzlDk-FQix4sY7GKw_4_0"/>
      <w:bookmarkStart w:id="216" w:name="Tc_ck-adQL3Ika0yQjWIjIAng_3_0"/>
      <w:bookmarkStart w:id="217" w:name="Tc_GS1uUgAE9kWNQtv_oFkGxg_2_0"/>
      <w:bookmarkStart w:id="218" w:name="Tc_t3TncDwjiE2WfS6dPQoI5Q_1_4"/>
      <w:bookmarkStart w:id="219" w:name="Tc_fYb3J4fiv0SnOidmpA5mfw_1_1"/>
      <w:bookmarkStart w:id="220" w:name="_67174e01_bf74_49f6_948b_b3acb88de25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tbl>
      <w:tblPr>
        <w:tblW w:w="10205" w:type="dxa"/>
        <w:jc w:val="left"/>
        <w:tblInd w:w="0" w:type="dxa"/>
        <w:tblLayout w:type="fixed"/>
        <w:tblCellMar>
          <w:top w:w="0" w:type="dxa"/>
          <w:left w:w="0" w:type="dxa"/>
          <w:bottom w:w="0" w:type="dxa"/>
          <w:right w:w="0" w:type="dxa"/>
        </w:tblCellMar>
      </w:tblPr>
      <w:tblGrid>
        <w:gridCol w:w="7160"/>
        <w:gridCol w:w="230"/>
        <w:gridCol w:w="1102"/>
        <w:gridCol w:w="346"/>
        <w:gridCol w:w="227"/>
        <w:gridCol w:w="1140"/>
      </w:tblGrid>
      <w:tr>
        <w:trPr/>
        <w:tc>
          <w:tcPr>
            <w:tcW w:w="7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546600" cy="175260"/>
                      <wp:effectExtent l="0" t="0" r="0" b="0"/>
                      <wp:wrapNone/>
                      <wp:docPr id="251" name="Frame250"/>
                      <a:graphic xmlns:a="http://schemas.openxmlformats.org/drawingml/2006/main">
                        <a:graphicData uri="http://schemas.microsoft.com/office/word/2010/wordprocessingShape">
                          <wps:wsp>
                            <wps:cNvSpPr txBox="1"/>
                            <wps:spPr>
                              <a:xfrm>
                                <a:off x="0" y="0"/>
                                <a:ext cx="454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46050" cy="175260"/>
                      <wp:effectExtent l="0" t="0" r="0" b="0"/>
                      <wp:wrapNone/>
                      <wp:docPr id="252" name="Frame25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9770" cy="175260"/>
                      <wp:effectExtent l="0" t="0" r="0" b="0"/>
                      <wp:wrapNone/>
                      <wp:docPr id="253" name="Frame252"/>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44145" cy="175260"/>
                      <wp:effectExtent l="0" t="0" r="0" b="0"/>
                      <wp:wrapNone/>
                      <wp:docPr id="255" name="Frame254"/>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23900" cy="175260"/>
                      <wp:effectExtent l="0" t="0" r="0" b="0"/>
                      <wp:wrapNone/>
                      <wp:docPr id="256" name="Frame255"/>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60" w:type="dxa"/>
            <w:tcBorders/>
            <w:vAlign w:val="center"/>
          </w:tcPr>
          <w:p>
            <w:pPr>
              <w:pStyle w:val="TableContents"/>
              <w:bidi w:val="0"/>
              <w:spacing w:before="0" w:after="0"/>
              <w:ind w:left="0" w:right="0" w:hanging="0"/>
              <w:jc w:val="left"/>
              <w:rPr/>
            </w:pPr>
            <w:r>
              <w:rPr/>
              <w:t>​</w:t>
            </w:r>
          </w:p>
        </w:tc>
        <w:tc>
          <w:tcPr>
            <w:tcW w:w="13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 2025</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Assets</w:t>
            </w:r>
          </w:p>
        </w:tc>
        <w:tc>
          <w:tcPr>
            <w:tcW w:w="230"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pPr>
            <w:r>
              <w:rPr/>
              <w:t>  ​</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230"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  ​</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861,460</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717,854</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230"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39,724</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55,700</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230"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211,497</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325,675</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Merchandise inventories</w:t>
            </w:r>
          </w:p>
        </w:tc>
        <w:tc>
          <w:tcPr>
            <w:tcW w:w="230"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1,201,098</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1,172,047</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72,792</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96,794</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2,386,571</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2,368,070</w:t>
            </w:r>
          </w:p>
        </w:tc>
      </w:tr>
      <w:tr>
        <w:trPr/>
        <w:tc>
          <w:tcPr>
            <w:tcW w:w="7160"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w:t>
            </w:r>
          </w:p>
        </w:tc>
        <w:tc>
          <w:tcPr>
            <w:tcW w:w="230"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Land and land improvements</w:t>
            </w:r>
          </w:p>
        </w:tc>
        <w:tc>
          <w:tcPr>
            <w:tcW w:w="230"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47,183</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47,183</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Buildings and leasehold improvements</w:t>
            </w:r>
          </w:p>
        </w:tc>
        <w:tc>
          <w:tcPr>
            <w:tcW w:w="230"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3,099,243</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3,112,469</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Furniture, fixtures and equipment</w:t>
            </w:r>
          </w:p>
        </w:tc>
        <w:tc>
          <w:tcPr>
            <w:tcW w:w="230"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638,337</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605,959</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Buildings under construction</w:t>
            </w:r>
          </w:p>
        </w:tc>
        <w:tc>
          <w:tcPr>
            <w:tcW w:w="230"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5,827</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10,718</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 and amortization</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(2,878,784)</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(2,774,081)</w:t>
            </w:r>
          </w:p>
        </w:tc>
      </w:tr>
      <w:tr>
        <w:trPr/>
        <w:tc>
          <w:tcPr>
            <w:tcW w:w="7160"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911,806</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1,002,248</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w:t>
            </w:r>
          </w:p>
        </w:tc>
        <w:tc>
          <w:tcPr>
            <w:tcW w:w="230"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36,177</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33,562</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230"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77,386</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69,099</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93,083</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58,075</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3,505,023</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3,531,054</w:t>
            </w:r>
          </w:p>
        </w:tc>
      </w:tr>
      <w:tr>
        <w:trPr/>
        <w:tc>
          <w:tcPr>
            <w:tcW w:w="7160"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left"/>
              <w:rPr/>
            </w:pPr>
            <w:r>
              <w:rPr/>
              <w:t>​</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Liabilities and stockholders’ equity</w:t>
            </w:r>
          </w:p>
        </w:tc>
        <w:tc>
          <w:tcPr>
            <w:tcW w:w="230"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pPr>
            <w:r>
              <w:rPr/>
              <w:t>  ​</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230"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pPr>
            <w:r>
              <w:rPr/>
              <w:t>  ​</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accounts payable and accrued expenses</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772,398</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795,023</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long-term debt</w:t>
            </w:r>
          </w:p>
        </w:tc>
        <w:tc>
          <w:tcPr>
            <w:tcW w:w="230"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96,000</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pPr>
            <w:r>
              <w:rPr/>
              <w:t>—</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230"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9,547</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11,411</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Federal and state income taxes</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24,139</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28,472</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902,084</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834,906</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230"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225,674</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321,567</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230"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26,341</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22,345</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230"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371,954</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356,076</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Subordinated debentures</w:t>
            </w:r>
          </w:p>
        </w:tc>
        <w:tc>
          <w:tcPr>
            <w:tcW w:w="230"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w:t>
            </w:r>
          </w:p>
        </w:tc>
        <w:tc>
          <w:tcPr>
            <w:tcW w:w="230"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pPr>
            <w:r>
              <w:rPr/>
              <w:t>  ​</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230"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pPr>
            <w:r>
              <w:rPr/>
              <w:t>  ​</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Class A— 120,083,197 and 120,075,882 shares issued; 11,630,838 and 11,923,536 shares outstanding</w:t>
            </w:r>
          </w:p>
        </w:tc>
        <w:tc>
          <w:tcPr>
            <w:tcW w:w="230"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Class B (convertible)— 3,986,233 and 3,986,233 shares issued and outstanding</w:t>
            </w:r>
          </w:p>
        </w:tc>
        <w:tc>
          <w:tcPr>
            <w:tcW w:w="230"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230"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975,349</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971,524</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230" w:type="dxa"/>
            <w:tcBorders/>
            <w:vAlign w:val="center"/>
          </w:tcPr>
          <w:p>
            <w:pPr>
              <w:pStyle w:val="TableContents"/>
              <w:bidi w:val="0"/>
              <w:spacing w:before="0" w:after="0"/>
              <w:ind w:left="0" w:right="0" w:hanging="0"/>
              <w:jc w:val="left"/>
              <w:rPr/>
            </w:pPr>
            <w:r>
              <w:rPr/>
              <w:t> </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(46,674)</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(49,851)</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230"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6,312,651</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6,228,048</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treasury stock, at cost. Class A— 108,452,359 and 108,152,346 shares</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(5,463,597)</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(5,354,802)</w:t>
            </w:r>
          </w:p>
        </w:tc>
      </w:tr>
      <w:tr>
        <w:trPr/>
        <w:tc>
          <w:tcPr>
            <w:tcW w:w="71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1,778,970</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1,796,160</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3,505,023</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3,531,054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240"/>
        <w:ind w:left="0" w:right="0" w:firstLine="36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21" w:name="ConsolidatedStatementsofOperations_96540"/>
      <w:bookmarkStart w:id="222" w:name="_c3253c2f_c638_47cd_8b32_6ff8c0b97fb8"/>
      <w:bookmarkEnd w:id="221"/>
      <w:bookmarkEnd w:id="222"/>
      <w:r>
        <w:rPr>
          <w:rFonts w:ascii="Times New Roman;Times;serif" w:hAnsi="Times New Roman;Times;serif"/>
          <w:b/>
          <w:sz w:val="20"/>
        </w:rPr>
        <w:t>Consolidated Statements of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Per Share Data</w:t>
      </w:r>
    </w:p>
    <w:p>
      <w:pPr>
        <w:pStyle w:val="Normal"/>
        <w:bidi w:val="0"/>
        <w:spacing w:before="0" w:after="0"/>
        <w:jc w:val="left"/>
        <w:rPr>
          <w:sz w:val="4"/>
          <w:szCs w:val="4"/>
        </w:rPr>
      </w:pPr>
      <w:r>
        <w:rPr>
          <w:sz w:val="4"/>
          <w:szCs w:val="4"/>
        </w:rPr>
      </w:r>
      <w:bookmarkStart w:id="223" w:name="Tc_adywrQpTu0u5Dcn-TA6b2g_19_0"/>
      <w:bookmarkStart w:id="224" w:name="Tc_kkp3_V81TUOI0scvF9UMdQ_18_7"/>
      <w:bookmarkStart w:id="225" w:name="Tc_S3t9qmPlREK4PnAF3MyIVw_18_4"/>
      <w:bookmarkStart w:id="226" w:name="Tc_iWHuqVK1rU6Am_ErhP6A1A_18_1"/>
      <w:bookmarkStart w:id="227" w:name="Tc_aTShpK7cLUyLmTPS8-fiXw_18_0"/>
      <w:bookmarkStart w:id="228" w:name="Tc_RXfHomhSq0uARbsp3ajPSg_17_0"/>
      <w:bookmarkStart w:id="229" w:name="Tc_xgIoXlX2jkic0mNtkV3XFA_16_7"/>
      <w:bookmarkStart w:id="230" w:name="Tc_zRgnIT0RcEG_S-dz9ckmrw_16_4"/>
      <w:bookmarkStart w:id="231" w:name="Tc_Z2QRE0jXG0aARwn3PpGLsw_16_1"/>
      <w:bookmarkStart w:id="232" w:name="Tc_nq6kMfsFVUep67s91MuCag_16_0"/>
      <w:bookmarkStart w:id="233" w:name="Tc_7lqvI2aMv0ayPVLxR3aSKw_15_8"/>
      <w:bookmarkStart w:id="234" w:name="Tc_qxGai0Oqmkq6b6w5vQmk4g_15_5"/>
      <w:bookmarkStart w:id="235" w:name="Tc_jzVK3V0kLEWikAl6_B7yqw_15_0"/>
      <w:bookmarkStart w:id="236" w:name="Tc_1sV5I-w4qEyWKECxf0BdBw_14_0"/>
      <w:bookmarkStart w:id="237" w:name="Tc_6Zm_UxQVVUuZ3y7LJperkw_13_0"/>
      <w:bookmarkStart w:id="238" w:name="Tc__eAm_APp606EDg9faWQosw_12_0"/>
      <w:bookmarkStart w:id="239" w:name="Tc_roKA6Jqk5kO1m6HKhrhejg_11_0"/>
      <w:bookmarkStart w:id="240" w:name="Tc_Aypr_UTFrkW470EGJuwi2A_10_0"/>
      <w:bookmarkStart w:id="241" w:name="Tc_jhqiyXtnQ0uuxjTjt0km8g_9_0"/>
      <w:bookmarkStart w:id="242" w:name="Tc_pzgjW_t8fkyQgK3pubZpkQ_8_0"/>
      <w:bookmarkStart w:id="243" w:name="Tc_eABe-_fh3Ee-_Fu8ELQdmg_7_0"/>
      <w:bookmarkStart w:id="244" w:name="Tc_53T7aTTmRUesHiV_jTGIUg_6_0"/>
      <w:bookmarkStart w:id="245" w:name="Tc_5XryfqdG9UC_b_Zq8CXrTA_4_0"/>
      <w:bookmarkStart w:id="246" w:name="Tc_EnFqWujeFk2xEOttVUQoXw_3_7"/>
      <w:bookmarkStart w:id="247" w:name="Tc_lYj59f0s6EqV1KG_XUAlew_3_4"/>
      <w:bookmarkStart w:id="248" w:name="Tc_KKL3sZzEbUWIyGIOf2AkXw_3_1"/>
      <w:bookmarkStart w:id="249" w:name="Tc_XYnJvLfEaUm6U37ghEGbXA_3_0"/>
      <w:bookmarkStart w:id="250" w:name="Tc_FAMpjFAUEUKevwL_lVyTRw_2_7"/>
      <w:bookmarkStart w:id="251" w:name="Tc_pueOF2KhHEe-2Tc-XcdYSg_2_4"/>
      <w:bookmarkStart w:id="252" w:name="Tc_2Ns_Zwowyku51k-Q97W9Jw_2_1"/>
      <w:bookmarkStart w:id="253" w:name="Tc_er8dx-Ptok-JBEL_p9eVGA_1_1"/>
      <w:bookmarkStart w:id="254" w:name="_63070938_2869_4169_ac73_c8139333989f"/>
      <w:bookmarkStart w:id="255" w:name="Tc_adywrQpTu0u5Dcn-TA6b2g_19_0"/>
      <w:bookmarkStart w:id="256" w:name="Tc_kkp3_V81TUOI0scvF9UMdQ_18_7"/>
      <w:bookmarkStart w:id="257" w:name="Tc_S3t9qmPlREK4PnAF3MyIVw_18_4"/>
      <w:bookmarkStart w:id="258" w:name="Tc_iWHuqVK1rU6Am_ErhP6A1A_18_1"/>
      <w:bookmarkStart w:id="259" w:name="Tc_aTShpK7cLUyLmTPS8-fiXw_18_0"/>
      <w:bookmarkStart w:id="260" w:name="Tc_RXfHomhSq0uARbsp3ajPSg_17_0"/>
      <w:bookmarkStart w:id="261" w:name="Tc_xgIoXlX2jkic0mNtkV3XFA_16_7"/>
      <w:bookmarkStart w:id="262" w:name="Tc_zRgnIT0RcEG_S-dz9ckmrw_16_4"/>
      <w:bookmarkStart w:id="263" w:name="Tc_Z2QRE0jXG0aARwn3PpGLsw_16_1"/>
      <w:bookmarkStart w:id="264" w:name="Tc_nq6kMfsFVUep67s91MuCag_16_0"/>
      <w:bookmarkStart w:id="265" w:name="Tc_7lqvI2aMv0ayPVLxR3aSKw_15_8"/>
      <w:bookmarkStart w:id="266" w:name="Tc_qxGai0Oqmkq6b6w5vQmk4g_15_5"/>
      <w:bookmarkStart w:id="267" w:name="Tc_jzVK3V0kLEWikAl6_B7yqw_15_0"/>
      <w:bookmarkStart w:id="268" w:name="Tc_1sV5I-w4qEyWKECxf0BdBw_14_0"/>
      <w:bookmarkStart w:id="269" w:name="Tc_6Zm_UxQVVUuZ3y7LJperkw_13_0"/>
      <w:bookmarkStart w:id="270" w:name="Tc__eAm_APp606EDg9faWQosw_12_0"/>
      <w:bookmarkStart w:id="271" w:name="Tc_roKA6Jqk5kO1m6HKhrhejg_11_0"/>
      <w:bookmarkStart w:id="272" w:name="Tc_Aypr_UTFrkW470EGJuwi2A_10_0"/>
      <w:bookmarkStart w:id="273" w:name="Tc_jhqiyXtnQ0uuxjTjt0km8g_9_0"/>
      <w:bookmarkStart w:id="274" w:name="Tc_pzgjW_t8fkyQgK3pubZpkQ_8_0"/>
      <w:bookmarkStart w:id="275" w:name="Tc_eABe-_fh3Ee-_Fu8ELQdmg_7_0"/>
      <w:bookmarkStart w:id="276" w:name="Tc_53T7aTTmRUesHiV_jTGIUg_6_0"/>
      <w:bookmarkStart w:id="277" w:name="Tc_5XryfqdG9UC_b_Zq8CXrTA_4_0"/>
      <w:bookmarkStart w:id="278" w:name="Tc_EnFqWujeFk2xEOttVUQoXw_3_7"/>
      <w:bookmarkStart w:id="279" w:name="Tc_lYj59f0s6EqV1KG_XUAlew_3_4"/>
      <w:bookmarkStart w:id="280" w:name="Tc_KKL3sZzEbUWIyGIOf2AkXw_3_1"/>
      <w:bookmarkStart w:id="281" w:name="Tc_XYnJvLfEaUm6U37ghEGbXA_3_0"/>
      <w:bookmarkStart w:id="282" w:name="Tc_FAMpjFAUEUKevwL_lVyTRw_2_7"/>
      <w:bookmarkStart w:id="283" w:name="Tc_pueOF2KhHEe-2Tc-XcdYSg_2_4"/>
      <w:bookmarkStart w:id="284" w:name="Tc_2Ns_Zwowyku51k-Q97W9Jw_2_1"/>
      <w:bookmarkStart w:id="285" w:name="Tc_er8dx-Ptok-JBEL_p9eVGA_1_1"/>
      <w:bookmarkStart w:id="286" w:name="_63070938_2869_4169_ac73_c8139333989f"/>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tbl>
      <w:tblPr>
        <w:tblW w:w="10205" w:type="dxa"/>
        <w:jc w:val="left"/>
        <w:tblInd w:w="0" w:type="dxa"/>
        <w:tblLayout w:type="fixed"/>
        <w:tblCellMar>
          <w:top w:w="0" w:type="dxa"/>
          <w:left w:w="0" w:type="dxa"/>
          <w:bottom w:w="0" w:type="dxa"/>
          <w:right w:w="0" w:type="dxa"/>
        </w:tblCellMar>
      </w:tblPr>
      <w:tblGrid>
        <w:gridCol w:w="5358"/>
        <w:gridCol w:w="254"/>
        <w:gridCol w:w="1125"/>
        <w:gridCol w:w="346"/>
        <w:gridCol w:w="252"/>
        <w:gridCol w:w="1113"/>
        <w:gridCol w:w="346"/>
        <w:gridCol w:w="250"/>
        <w:gridCol w:w="1161"/>
      </w:tblGrid>
      <w:tr>
        <w:trPr/>
        <w:tc>
          <w:tcPr>
            <w:tcW w:w="5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402330" cy="175260"/>
                      <wp:effectExtent l="0" t="0" r="0" b="0"/>
                      <wp:wrapNone/>
                      <wp:docPr id="257" name="Frame256"/>
                      <a:graphic xmlns:a="http://schemas.openxmlformats.org/drawingml/2006/main">
                        <a:graphicData uri="http://schemas.microsoft.com/office/word/2010/wordprocessingShape">
                          <wps:wsp>
                            <wps:cNvSpPr txBox="1"/>
                            <wps:spPr>
                              <a:xfrm>
                                <a:off x="0" y="0"/>
                                <a:ext cx="3402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1290" cy="175260"/>
                      <wp:effectExtent l="0" t="0" r="0" b="0"/>
                      <wp:wrapNone/>
                      <wp:docPr id="258" name="Frame25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14375" cy="175260"/>
                      <wp:effectExtent l="0" t="0" r="0" b="0"/>
                      <wp:wrapNone/>
                      <wp:docPr id="259" name="Frame258"/>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60020" cy="175260"/>
                      <wp:effectExtent l="0" t="0" r="0" b="0"/>
                      <wp:wrapNone/>
                      <wp:docPr id="261" name="Frame26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06755" cy="175260"/>
                      <wp:effectExtent l="0" t="0" r="0" b="0"/>
                      <wp:wrapNone/>
                      <wp:docPr id="262" name="Frame261"/>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58750" cy="175260"/>
                      <wp:effectExtent l="0" t="0" r="0" b="0"/>
                      <wp:wrapNone/>
                      <wp:docPr id="264" name="Frame26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37235" cy="175260"/>
                      <wp:effectExtent l="0" t="0" r="0" b="0"/>
                      <wp:wrapNone/>
                      <wp:docPr id="265" name="Frame264"/>
                      <a:graphic xmlns:a="http://schemas.openxmlformats.org/drawingml/2006/main">
                        <a:graphicData uri="http://schemas.microsoft.com/office/word/2010/wordprocessingShape">
                          <wps:wsp>
                            <wps:cNvSpPr txBox="1"/>
                            <wps:spPr>
                              <a:xfrm>
                                <a:off x="0" y="0"/>
                                <a:ext cx="73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58" w:type="dxa"/>
            <w:tcBorders/>
            <w:vAlign w:val="center"/>
          </w:tcPr>
          <w:p>
            <w:pPr>
              <w:pStyle w:val="TableContents"/>
              <w:bidi w:val="0"/>
              <w:spacing w:before="0" w:after="0"/>
              <w:ind w:left="0" w:right="0" w:hanging="0"/>
              <w:jc w:val="left"/>
              <w:rPr/>
            </w:pPr>
            <w:r>
              <w:rPr/>
              <w:t>​</w:t>
            </w:r>
          </w:p>
        </w:tc>
        <w:tc>
          <w:tcPr>
            <w:tcW w:w="484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w:t>
            </w:r>
          </w:p>
        </w:tc>
      </w:tr>
      <w:tr>
        <w:trPr/>
        <w:tc>
          <w:tcPr>
            <w:tcW w:w="5358" w:type="dxa"/>
            <w:tcBorders/>
            <w:vAlign w:val="center"/>
          </w:tcPr>
          <w:p>
            <w:pPr>
              <w:pStyle w:val="TableContents"/>
              <w:bidi w:val="0"/>
              <w:spacing w:before="0" w:after="0"/>
              <w:ind w:left="0" w:right="0" w:hanging="0"/>
              <w:jc w:val="left"/>
              <w:rPr/>
            </w:pPr>
            <w:r>
              <w:rPr/>
              <w:t>​</w:t>
            </w:r>
          </w:p>
        </w:tc>
        <w:tc>
          <w:tcPr>
            <w:tcW w:w="13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346" w:type="dxa"/>
            <w:tcBorders/>
            <w:vAlign w:val="center"/>
          </w:tcPr>
          <w:p>
            <w:pPr>
              <w:pStyle w:val="TableContents"/>
              <w:bidi w:val="0"/>
              <w:spacing w:before="0" w:after="0"/>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 2025</w:t>
            </w:r>
          </w:p>
        </w:tc>
        <w:tc>
          <w:tcPr>
            <w:tcW w:w="346" w:type="dxa"/>
            <w:tcBorders/>
            <w:vAlign w:val="center"/>
          </w:tcPr>
          <w:p>
            <w:pPr>
              <w:pStyle w:val="TableContents"/>
              <w:bidi w:val="0"/>
              <w:spacing w:before="0" w:after="0"/>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3, 2024</w:t>
            </w:r>
          </w:p>
        </w:tc>
      </w:tr>
      <w:tr>
        <w:trPr/>
        <w:tc>
          <w:tcPr>
            <w:tcW w:w="5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6,473,623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6,482,636</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6,752,053</w:t>
            </w:r>
          </w:p>
        </w:tc>
      </w:tr>
      <w:tr>
        <w:trPr/>
        <w:tc>
          <w:tcPr>
            <w:tcW w:w="5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charges and other income</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89,713</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107,595</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122,367</w:t>
            </w:r>
          </w:p>
        </w:tc>
      </w:tr>
      <w:tr>
        <w:trPr/>
        <w:tc>
          <w:tcPr>
            <w:tcW w:w="5358"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6,563,336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6,590,231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6,874,420</w:t>
            </w:r>
          </w:p>
        </w:tc>
      </w:tr>
      <w:tr>
        <w:trPr/>
        <w:tc>
          <w:tcPr>
            <w:tcW w:w="5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54"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3,916,862</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3,919,549</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4,031,108</w:t>
            </w:r>
          </w:p>
        </w:tc>
      </w:tr>
      <w:tr>
        <w:trPr/>
        <w:tc>
          <w:tcPr>
            <w:tcW w:w="5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254"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1,759,236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1,731,234</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1,717,415</w:t>
            </w:r>
          </w:p>
        </w:tc>
      </w:tr>
      <w:tr>
        <w:trPr/>
        <w:tc>
          <w:tcPr>
            <w:tcW w:w="5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54"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179,341</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177,867</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179,573</w:t>
            </w:r>
          </w:p>
        </w:tc>
      </w:tr>
      <w:tr>
        <w:trPr/>
        <w:tc>
          <w:tcPr>
            <w:tcW w:w="5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Rentals</w:t>
            </w:r>
          </w:p>
        </w:tc>
        <w:tc>
          <w:tcPr>
            <w:tcW w:w="254"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21,419</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21,569</w:t>
            </w:r>
          </w:p>
        </w:tc>
      </w:tr>
      <w:tr>
        <w:trPr/>
        <w:tc>
          <w:tcPr>
            <w:tcW w:w="5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debt (income) expense, net</w:t>
            </w:r>
          </w:p>
        </w:tc>
        <w:tc>
          <w:tcPr>
            <w:tcW w:w="254"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(13,695)</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w:t>
            </w:r>
          </w:p>
        </w:tc>
      </w:tr>
      <w:tr>
        <w:trPr/>
        <w:tc>
          <w:tcPr>
            <w:tcW w:w="5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254"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18,791</w:t>
            </w:r>
          </w:p>
        </w:tc>
      </w:tr>
      <w:tr>
        <w:trPr/>
        <w:tc>
          <w:tcPr>
            <w:tcW w:w="5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disposal of assets</w:t>
            </w:r>
          </w:p>
        </w:tc>
        <w:tc>
          <w:tcPr>
            <w:tcW w:w="254" w:type="dxa"/>
            <w:tcBorders/>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(20,373)</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(6,053)</w:t>
            </w:r>
          </w:p>
        </w:tc>
      </w:tr>
      <w:tr>
        <w:trPr/>
        <w:tc>
          <w:tcPr>
            <w:tcW w:w="5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 and equity in earnings of joint ventures</w:t>
            </w:r>
          </w:p>
        </w:tc>
        <w:tc>
          <w:tcPr>
            <w:tcW w:w="254"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694,480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729,701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916,617</w:t>
            </w:r>
          </w:p>
        </w:tc>
      </w:tr>
      <w:tr>
        <w:trPr/>
        <w:tc>
          <w:tcPr>
            <w:tcW w:w="5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254"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124,700</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136,225</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177,770</w:t>
            </w:r>
          </w:p>
        </w:tc>
      </w:tr>
      <w:tr>
        <w:trPr/>
        <w:tc>
          <w:tcPr>
            <w:tcW w:w="5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of joint ventures</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570,187</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593,476</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738,847</w:t>
            </w:r>
          </w:p>
        </w:tc>
      </w:tr>
      <w:tr>
        <w:trPr/>
        <w:tc>
          <w:tcPr>
            <w:tcW w:w="5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254"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161" w:type="dxa"/>
            <w:tcBorders/>
            <w:shd w:fill="CCEEFF" w:val="clear"/>
            <w:vAlign w:val="center"/>
          </w:tcPr>
          <w:p>
            <w:pPr>
              <w:pStyle w:val="TableContents"/>
              <w:bidi w:val="0"/>
              <w:spacing w:before="0" w:after="0"/>
              <w:ind w:left="0" w:right="0" w:hanging="0"/>
              <w:jc w:val="right"/>
              <w:rPr/>
            </w:pPr>
            <w:r>
              <w:rPr/>
              <w:t>  ​</w:t>
            </w:r>
          </w:p>
        </w:tc>
      </w:tr>
      <w:tr>
        <w:trPr/>
        <w:tc>
          <w:tcPr>
            <w:tcW w:w="5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44.73</w:t>
            </w:r>
          </w:p>
        </w:tc>
      </w:tr>
      <w:tr>
        <w:trPr/>
        <w:tc>
          <w:tcPr>
            <w:tcW w:w="5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5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44.73</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7" w:name="ConsolidatedStatementsofComprehensiveInc"/>
      <w:bookmarkStart w:id="288" w:name="_22a0149f_2b8e_4f6b_92d0_132f5f78e384"/>
      <w:bookmarkEnd w:id="287"/>
      <w:bookmarkEnd w:id="288"/>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Normal"/>
        <w:bidi w:val="0"/>
        <w:spacing w:before="0" w:after="0"/>
        <w:jc w:val="left"/>
        <w:rPr>
          <w:sz w:val="4"/>
          <w:szCs w:val="4"/>
        </w:rPr>
      </w:pPr>
      <w:r>
        <w:rPr>
          <w:sz w:val="4"/>
          <w:szCs w:val="4"/>
        </w:rPr>
      </w:r>
      <w:bookmarkStart w:id="289" w:name="Tc_qs8SCshTg0Sk5yAUsFTIGw_7_7"/>
      <w:bookmarkStart w:id="290" w:name="Tc_UatnUI6kwUCW-tQnTX6Vqw_7_4"/>
      <w:bookmarkStart w:id="291" w:name="Tc_G8ad24Shb0CWMThULYjiRA_7_1"/>
      <w:bookmarkStart w:id="292" w:name="Tc_cANAwYuqRkuQ3sHPkrTtPw_7_0"/>
      <w:bookmarkStart w:id="293" w:name="Tc_VEc6dD33O0qdMoGrLWsT0Q_5_0"/>
      <w:bookmarkStart w:id="294" w:name="Tc_LmsqMAbjPEGDnPDNllcszw_4_0"/>
      <w:bookmarkStart w:id="295" w:name="Tc_R7OXKwuG0UecZqyGz3l0xA_3_7"/>
      <w:bookmarkStart w:id="296" w:name="Tc_u6EL-78oB06SxsaFtpnZ2A_3_4"/>
      <w:bookmarkStart w:id="297" w:name="Tc_b9hJt6JjX0eM_R0Dxyd4jw_3_1"/>
      <w:bookmarkStart w:id="298" w:name="Tc_LVEYAsE_k0Wsl5Ka_JtyMw_3_0"/>
      <w:bookmarkStart w:id="299" w:name="Tc_s_PVZqz6PE27VQEh4WHC7g_2_7"/>
      <w:bookmarkStart w:id="300" w:name="Tc_FRsCvze5Pke_11Ql0BzBYw_2_4"/>
      <w:bookmarkStart w:id="301" w:name="Tc_P59nXCHCXUSssn6p9PnnKA_2_1"/>
      <w:bookmarkStart w:id="302" w:name="Tc_93ZKuUlF2ku74OBlOUKPrA_1_1"/>
      <w:bookmarkStart w:id="303" w:name="_2ddeb5ed_8eaa_4eee_9744_00c0e759d32b"/>
      <w:bookmarkStart w:id="304" w:name="Tc_qs8SCshTg0Sk5yAUsFTIGw_7_7"/>
      <w:bookmarkStart w:id="305" w:name="Tc_UatnUI6kwUCW-tQnTX6Vqw_7_4"/>
      <w:bookmarkStart w:id="306" w:name="Tc_G8ad24Shb0CWMThULYjiRA_7_1"/>
      <w:bookmarkStart w:id="307" w:name="Tc_cANAwYuqRkuQ3sHPkrTtPw_7_0"/>
      <w:bookmarkStart w:id="308" w:name="Tc_VEc6dD33O0qdMoGrLWsT0Q_5_0"/>
      <w:bookmarkStart w:id="309" w:name="Tc_LmsqMAbjPEGDnPDNllcszw_4_0"/>
      <w:bookmarkStart w:id="310" w:name="Tc_R7OXKwuG0UecZqyGz3l0xA_3_7"/>
      <w:bookmarkStart w:id="311" w:name="Tc_u6EL-78oB06SxsaFtpnZ2A_3_4"/>
      <w:bookmarkStart w:id="312" w:name="Tc_b9hJt6JjX0eM_R0Dxyd4jw_3_1"/>
      <w:bookmarkStart w:id="313" w:name="Tc_LVEYAsE_k0Wsl5Ka_JtyMw_3_0"/>
      <w:bookmarkStart w:id="314" w:name="Tc_s_PVZqz6PE27VQEh4WHC7g_2_7"/>
      <w:bookmarkStart w:id="315" w:name="Tc_FRsCvze5Pke_11Ql0BzBYw_2_4"/>
      <w:bookmarkStart w:id="316" w:name="Tc_P59nXCHCXUSssn6p9PnnKA_2_1"/>
      <w:bookmarkStart w:id="317" w:name="Tc_93ZKuUlF2ku74OBlOUKPrA_1_1"/>
      <w:bookmarkStart w:id="318" w:name="_2ddeb5ed_8eaa_4eee_9744_00c0e759d32b"/>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tbl>
      <w:tblPr>
        <w:tblW w:w="10205" w:type="dxa"/>
        <w:jc w:val="left"/>
        <w:tblInd w:w="0" w:type="dxa"/>
        <w:tblLayout w:type="fixed"/>
        <w:tblCellMar>
          <w:top w:w="0" w:type="dxa"/>
          <w:left w:w="0" w:type="dxa"/>
          <w:bottom w:w="0" w:type="dxa"/>
          <w:right w:w="0" w:type="dxa"/>
        </w:tblCellMar>
      </w:tblPr>
      <w:tblGrid>
        <w:gridCol w:w="5879"/>
        <w:gridCol w:w="252"/>
        <w:gridCol w:w="938"/>
        <w:gridCol w:w="346"/>
        <w:gridCol w:w="251"/>
        <w:gridCol w:w="932"/>
        <w:gridCol w:w="346"/>
        <w:gridCol w:w="242"/>
        <w:gridCol w:w="1019"/>
      </w:tblGrid>
      <w:tr>
        <w:trPr/>
        <w:tc>
          <w:tcPr>
            <w:tcW w:w="5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733165" cy="175260"/>
                      <wp:effectExtent l="0" t="0" r="0" b="0"/>
                      <wp:wrapNone/>
                      <wp:docPr id="266" name="Frame265"/>
                      <a:graphic xmlns:a="http://schemas.openxmlformats.org/drawingml/2006/main">
                        <a:graphicData uri="http://schemas.microsoft.com/office/word/2010/wordprocessingShape">
                          <wps:wsp>
                            <wps:cNvSpPr txBox="1"/>
                            <wps:spPr>
                              <a:xfrm>
                                <a:off x="0" y="0"/>
                                <a:ext cx="3733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60020" cy="175260"/>
                      <wp:effectExtent l="0" t="0" r="0" b="0"/>
                      <wp:wrapNone/>
                      <wp:docPr id="267" name="Frame26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95630" cy="175260"/>
                      <wp:effectExtent l="0" t="0" r="0" b="0"/>
                      <wp:wrapNone/>
                      <wp:docPr id="268" name="Frame267"/>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59385" cy="175260"/>
                      <wp:effectExtent l="0" t="0" r="0" b="0"/>
                      <wp:wrapNone/>
                      <wp:docPr id="270" name="Frame26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91820" cy="175260"/>
                      <wp:effectExtent l="0" t="0" r="0" b="0"/>
                      <wp:wrapNone/>
                      <wp:docPr id="271" name="Frame270"/>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53670" cy="175260"/>
                      <wp:effectExtent l="0" t="0" r="0" b="0"/>
                      <wp:wrapNone/>
                      <wp:docPr id="273" name="Frame27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7065" cy="175260"/>
                      <wp:effectExtent l="0" t="0" r="0" b="0"/>
                      <wp:wrapNone/>
                      <wp:docPr id="274" name="Frame273"/>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79" w:type="dxa"/>
            <w:tcBorders/>
            <w:vAlign w:val="center"/>
          </w:tcPr>
          <w:p>
            <w:pPr>
              <w:pStyle w:val="TableContents"/>
              <w:bidi w:val="0"/>
              <w:spacing w:before="0" w:after="0"/>
              <w:ind w:left="0" w:right="0" w:hanging="0"/>
              <w:jc w:val="left"/>
              <w:rPr/>
            </w:pPr>
            <w:r>
              <w:rPr/>
              <w:t>​</w:t>
            </w:r>
          </w:p>
        </w:tc>
        <w:tc>
          <w:tcPr>
            <w:tcW w:w="432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w:t>
            </w:r>
          </w:p>
        </w:tc>
      </w:tr>
      <w:tr>
        <w:trPr/>
        <w:tc>
          <w:tcPr>
            <w:tcW w:w="5879" w:type="dxa"/>
            <w:tcBorders/>
            <w:vAlign w:val="center"/>
          </w:tcPr>
          <w:p>
            <w:pPr>
              <w:pStyle w:val="TableContents"/>
              <w:bidi w:val="0"/>
              <w:spacing w:before="0" w:after="0"/>
              <w:ind w:left="0" w:right="0" w:hanging="0"/>
              <w:jc w:val="left"/>
              <w:rPr/>
            </w:pPr>
            <w:r>
              <w:rPr/>
              <w:t>​</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346" w:type="dxa"/>
            <w:tcBorders/>
            <w:vAlign w:val="center"/>
          </w:tcPr>
          <w:p>
            <w:pPr>
              <w:pStyle w:val="TableContents"/>
              <w:bidi w:val="0"/>
              <w:spacing w:before="0" w:after="0"/>
              <w:ind w:left="0" w:right="0" w:hanging="0"/>
              <w:jc w:val="left"/>
              <w:rPr/>
            </w:pPr>
            <w:r>
              <w:rPr/>
              <w:t>  ​ ​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 2025</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3, 2024</w:t>
            </w:r>
          </w:p>
        </w:tc>
      </w:tr>
      <w:tr>
        <w:trPr/>
        <w:tc>
          <w:tcPr>
            <w:tcW w:w="58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570,187</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593,476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738,847</w:t>
            </w:r>
          </w:p>
        </w:tc>
      </w:tr>
      <w:tr>
        <w:trPr/>
        <w:tc>
          <w:tcPr>
            <w:tcW w:w="5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25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pPr>
            <w:r>
              <w:rPr/>
              <w:t>​</w:t>
            </w:r>
          </w:p>
        </w:tc>
      </w:tr>
      <w:tr>
        <w:trPr/>
        <w:tc>
          <w:tcPr>
            <w:tcW w:w="58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retirement plan and other retiree benefit adjustments (net of tax of $(1,016), $3,249, and $(5,003), respectively)</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c>
          <w:tcPr>
            <w:tcW w:w="346" w:type="dxa"/>
            <w:tcBorders/>
            <w:shd w:fill="CCEEFF" w:val="clear"/>
            <w:vAlign w:val="center"/>
          </w:tcPr>
          <w:p>
            <w:pPr>
              <w:pStyle w:val="TableContents"/>
              <w:bidi w:val="0"/>
              <w:spacing w:before="0" w:after="0"/>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37,357</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(21,486)</w:t>
            </w:r>
          </w:p>
        </w:tc>
      </w:tr>
      <w:tr>
        <w:trPr/>
        <w:tc>
          <w:tcPr>
            <w:tcW w:w="587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left"/>
              <w:rPr/>
            </w:pPr>
            <w:r>
              <w:rPr/>
              <w:t>​</w:t>
            </w:r>
          </w:p>
        </w:tc>
      </w:tr>
      <w:tr>
        <w:trPr/>
        <w:tc>
          <w:tcPr>
            <w:tcW w:w="58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573,364</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630,833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717,361</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9" w:name="ConsolidatedStatementsofStockholdersEqui"/>
      <w:bookmarkStart w:id="320" w:name="_7311aa62_adc7_4b88_bc50_3ce9f2d57c87"/>
      <w:bookmarkEnd w:id="319"/>
      <w:bookmarkEnd w:id="320"/>
      <w:r>
        <w:rPr>
          <w:rFonts w:ascii="Times New Roman;Times;serif" w:hAnsi="Times New Roman;Times;serif"/>
          <w:b/>
          <w:sz w:val="20"/>
        </w:rPr>
        <w:t>Consolidated Statements of Stockholders’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 Except Share and Per Share Data</w:t>
      </w:r>
    </w:p>
    <w:p>
      <w:pPr>
        <w:pStyle w:val="Normal"/>
        <w:bidi w:val="0"/>
        <w:spacing w:before="0" w:after="0"/>
        <w:jc w:val="left"/>
        <w:rPr>
          <w:sz w:val="4"/>
          <w:szCs w:val="4"/>
        </w:rPr>
      </w:pPr>
      <w:r>
        <w:rPr>
          <w:sz w:val="4"/>
          <w:szCs w:val="4"/>
        </w:rPr>
      </w:r>
      <w:bookmarkStart w:id="321" w:name="Tc_decJfxKCu0GRHYmp5-N1-A_26_20"/>
      <w:bookmarkStart w:id="322" w:name="Tc_jID5k2xuNUmI1uQ3pUGMQw_26_17"/>
      <w:bookmarkStart w:id="323" w:name="Tc_j2UC9aJwq0euWgzU7XG7zA_26_14"/>
      <w:bookmarkStart w:id="324" w:name="Tc_GoxwcwOcaEK5FybcgXSnNQ_26_11"/>
      <w:bookmarkStart w:id="325" w:name="Tc_pIMB_hENAUm7lLoXzuuXig_26_8"/>
      <w:bookmarkStart w:id="326" w:name="Tc_BAzPCbZjqEeKXwB1wXfoXg_26_5"/>
      <w:bookmarkStart w:id="327" w:name="Tc_O357YzLt90-i1MMzAoJo-A_26_2"/>
      <w:bookmarkStart w:id="328" w:name="Tc_8zTHMrXchUuV2cIH8pbdxw_26_0"/>
      <w:bookmarkStart w:id="329" w:name="Tc_ouUiFZpJvk6IBjvsmYZ3rQ_25_18"/>
      <w:bookmarkStart w:id="330" w:name="Tc_2DQNx0IIok6HYCXU3kEUiQ_25_12"/>
      <w:bookmarkStart w:id="331" w:name="Tc_oOhsOG_jAE-zwqWy-G2bvA_25_9"/>
      <w:bookmarkStart w:id="332" w:name="Tc_242bTRbKPk2wxbyqVP3OyA_25_6"/>
      <w:bookmarkStart w:id="333" w:name="Tc_NN2trTxRy0m8D3_BdqXhiw_25_3"/>
      <w:bookmarkStart w:id="334" w:name="Tc_v-nJv02ZOEiuYyB_ZUxYcg_25_0"/>
      <w:bookmarkStart w:id="335" w:name="Tc_IuiCFr4hdUCNmbcxNKKLaA_24_0"/>
      <w:bookmarkStart w:id="336" w:name="Tc_CxUQvvopnUubJ3M5-qIFzA_23_15"/>
      <w:bookmarkStart w:id="337" w:name="Tc_0xEj302UeUi5XRaYkrfsSw_23_12"/>
      <w:bookmarkStart w:id="338" w:name="Tc_htAQQw2-JEuuk-pMwzj_PQ_23_9"/>
      <w:bookmarkStart w:id="339" w:name="Tc_sryt-SLj2EiX9SjNYxW6HQ_23_6"/>
      <w:bookmarkStart w:id="340" w:name="Tc_ZT3pvELmnkGNZC6MAoxfRg_23_3"/>
      <w:bookmarkStart w:id="341" w:name="Tc_PWQsKtD3WUCrre-vDS-fvA_23_0"/>
      <w:bookmarkStart w:id="342" w:name="Tc_VVwNgyjoPkWfhE7IsGwsYA_22_18"/>
      <w:bookmarkStart w:id="343" w:name="Tc_G6w7k7TD1UG4egeDZjyqhQ_22_15"/>
      <w:bookmarkStart w:id="344" w:name="Tc_2RCuHZR1QkGm4vEI1Nq57g_22_12"/>
      <w:bookmarkStart w:id="345" w:name="Tc_kM16A7PUT0S1OpdVsmj0Rg_22_6"/>
      <w:bookmarkStart w:id="346" w:name="Tc_cmjKo8t-kUOYtA_vrFh94w_22_3"/>
      <w:bookmarkStart w:id="347" w:name="Tc_bzNReCGT0EGK9mWakkehsA_22_0"/>
      <w:bookmarkStart w:id="348" w:name="Tc_r4WTQ72t4U66vVDBgm5iQQ_21_18"/>
      <w:bookmarkStart w:id="349" w:name="Tc_Zc45Iz0BLEuaM7GO07kXHQ_21_15"/>
      <w:bookmarkStart w:id="350" w:name="Tc_WSq8J9Lis02HTi5wKSDS4A_21_9"/>
      <w:bookmarkStart w:id="351" w:name="Tc_ORzjvBEM_0GrM_ZiBBIdBw_21_6"/>
      <w:bookmarkStart w:id="352" w:name="Tc_2FVR4f9ac0OuznBgvp1EgA_21_3"/>
      <w:bookmarkStart w:id="353" w:name="Tc_EfsRkFpDt0mq7rNi1OHRpg_21_0"/>
      <w:bookmarkStart w:id="354" w:name="Tc_zFzrZen2lUy5xDm0cTQnYA_20_18"/>
      <w:bookmarkStart w:id="355" w:name="Tc_PwJ7-nwwSE-yGrlSmTOBGw_20_12"/>
      <w:bookmarkStart w:id="356" w:name="Tc_F4zF58-8l02xo68rcUL3Eg_20_9"/>
      <w:bookmarkStart w:id="357" w:name="Tc__-Er1Sj0uEG0ftWxfrspxQ_20_6"/>
      <w:bookmarkStart w:id="358" w:name="Tc_GXu4_CUBNUSWq-SwNwJDmA_20_3"/>
      <w:bookmarkStart w:id="359" w:name="Tc_63KYMi5IDUyButw-We5gcA_20_0"/>
      <w:bookmarkStart w:id="360" w:name="Tc_f9YIWDMzIUaJUiv5ZhfhtQ_19_0"/>
      <w:bookmarkStart w:id="361" w:name="Tc_VYcgM1RDAUmtup49SRYG4g_18_18"/>
      <w:bookmarkStart w:id="362" w:name="Tc_5Xu5cqzZ5kKOGIeYUoiiCg_18_12"/>
      <w:bookmarkStart w:id="363" w:name="Tc_TH9q_1zw0EOyxrrUhZUN0w_18_9"/>
      <w:bookmarkStart w:id="364" w:name="Tc_xpqDUKMHUEOWUOCDBXi40g_18_6"/>
      <w:bookmarkStart w:id="365" w:name="Tc_Es5FtLYj4UaTLm2hnQF52Q_18_3"/>
      <w:bookmarkStart w:id="366" w:name="Tc_5tb9e-mag0mkfe_RkmwpYA_18_0"/>
      <w:bookmarkStart w:id="367" w:name="Tc_PtxQ268x_U6wyvp46QbYNg_17_0"/>
      <w:bookmarkStart w:id="368" w:name="Tc_y7fdI28n1kCMXQBUsNt0cg_16_15"/>
      <w:bookmarkStart w:id="369" w:name="Tc_QnQ7ABL_xEGBEPF7jIPRog_16_12"/>
      <w:bookmarkStart w:id="370" w:name="Tc_K-DP7Lyh_UKug85CoY9YZg_16_9"/>
      <w:bookmarkStart w:id="371" w:name="Tc_LujhYRjz-EWutr2n3pUJUQ_16_6"/>
      <w:bookmarkStart w:id="372" w:name="Tc_G8ULA4i4YESn6bt6rVQ9Tw_16_3"/>
      <w:bookmarkStart w:id="373" w:name="Tc_ULaVXPbC6k6HKFwU9esAOQ_16_0"/>
      <w:bookmarkStart w:id="374" w:name="Tc_HId8xMBEnUGb_q9jEVGtoA_15_18"/>
      <w:bookmarkStart w:id="375" w:name="Tc_ymCF5jrT7Eyeo_6kCMfoXA_15_15"/>
      <w:bookmarkStart w:id="376" w:name="Tc_IlUBsGJafEOQThRPFixxCg_15_12"/>
      <w:bookmarkStart w:id="377" w:name="Tc_jI8CwBtEQ0WKgFPqPA3_Iw_15_6"/>
      <w:bookmarkStart w:id="378" w:name="Tc_BEZHDr465UqMutVZtBtV6Q_15_0"/>
      <w:bookmarkStart w:id="379" w:name="Tc_a-HLhgbrFUuP_EtnGLmwgA_14_18"/>
      <w:bookmarkStart w:id="380" w:name="Tc_CgP0cnLlo0eXxnIcRHhSqg_14_15"/>
      <w:bookmarkStart w:id="381" w:name="Tc_phrbVitKTU6Alk8BIMnJcg_14_9"/>
      <w:bookmarkStart w:id="382" w:name="Tc_rFn-ADE8PU2cl7uLyWIZ6A_14_6"/>
      <w:bookmarkStart w:id="383" w:name="Tc_VDpOzCZTLkKlWoVzqw7fug_14_3"/>
      <w:bookmarkStart w:id="384" w:name="Tc_C6USdHltrE-T426JAMPcjw_14_0"/>
      <w:bookmarkStart w:id="385" w:name="Tc_wot2brrCr0CxrXNypvnZXw_13_18"/>
      <w:bookmarkStart w:id="386" w:name="Tc_9vG5UC_bM0KaEwOkmKsngw_13_12"/>
      <w:bookmarkStart w:id="387" w:name="Tc_ZC7QCrGbEUGT2tWtRZtWCQ_13_9"/>
      <w:bookmarkStart w:id="388" w:name="Tc_ao0I8_K6CkG6iABdtStv_w_13_6"/>
      <w:bookmarkStart w:id="389" w:name="Tc_iJqr1YMIrkGU0Dp1Z51pZg_13_3"/>
      <w:bookmarkStart w:id="390" w:name="Tc_ycTs2KIo5UeSQw2sK8Xi2Q_13_0"/>
      <w:bookmarkStart w:id="391" w:name="Tc_1Is9IeVqakiQcXdWDMaBsw_12_0"/>
      <w:bookmarkStart w:id="392" w:name="Tc_NVfoZkscWUeQYqGQKXZj7g_11_18"/>
      <w:bookmarkStart w:id="393" w:name="Tc_QE6aBYL3b02dn3QXx8Bu7A_11_12"/>
      <w:bookmarkStart w:id="394" w:name="Tc_po0pcxWF4kKSdC4we0goXg_11_9"/>
      <w:bookmarkStart w:id="395" w:name="Tc_MjvTrzoCPEOjlS6FUCC7Tw_11_6"/>
      <w:bookmarkStart w:id="396" w:name="Tc_azEq2KzccUyV3CmCTT8ZOQ_11_3"/>
      <w:bookmarkStart w:id="397" w:name="Tc_2qJ48EmQ0ECdqy1-_CZxdg_11_0"/>
      <w:bookmarkStart w:id="398" w:name="Tc_ChXAntRstUmh3GmY6DwS-Q_10_0"/>
      <w:bookmarkStart w:id="399" w:name="Tc_xa2LPDQGjUCPgwksKk4LQQ_9_15"/>
      <w:bookmarkStart w:id="400" w:name="Tc_qpqP2WRR9Um2oXmdVZzOlQ_9_12"/>
      <w:bookmarkStart w:id="401" w:name="Tc_l_Sr08ZZhU2TyYPNMJDl3g_9_9"/>
      <w:bookmarkStart w:id="402" w:name="Tc_fLYB6hHCxESZj6UTqIWH6A_9_6"/>
      <w:bookmarkStart w:id="403" w:name="Tc_7DRlVP_vh0iItliWcjR3Vw_9_3"/>
      <w:bookmarkStart w:id="404" w:name="Tc_gWy6wm3Fh0KWH7FOh-DWAQ_9_0"/>
      <w:bookmarkStart w:id="405" w:name="Tc_K3u9t2SdI0SPTWU8eksvRQ_8_18"/>
      <w:bookmarkStart w:id="406" w:name="Tc_T5o0SrPXJUev-FQabUNdfg_8_15"/>
      <w:bookmarkStart w:id="407" w:name="Tc_xIjigJU4KEu5ONNjOnfkgA_8_12"/>
      <w:bookmarkStart w:id="408" w:name="Tc_PiMy2dIoVEi1F-lgCszVDw_8_6"/>
      <w:bookmarkStart w:id="409" w:name="Tc_oXV16g1JQkmXwh21jcp8rw_8_3"/>
      <w:bookmarkStart w:id="410" w:name="Tc_NkQS4QhqF06Q-76EqL23EA_8_0"/>
      <w:bookmarkStart w:id="411" w:name="Tc_stCntAajxUC0C7XzQ7FFbg_7_18"/>
      <w:bookmarkStart w:id="412" w:name="Tc_I8r1wJ6qNkmXIlEyIrI7yQ_7_15"/>
      <w:bookmarkStart w:id="413" w:name="Tc_PNu0CSTlKUmZzwYQw0klBQ_7_9"/>
      <w:bookmarkStart w:id="414" w:name="Tc_i0WQFQUBB0qd_fsCfO1CDQ_7_6"/>
      <w:bookmarkStart w:id="415" w:name="Tc_uXd80ekNTUqy-FBlH4SY-A_7_3"/>
      <w:bookmarkStart w:id="416" w:name="Tc_uswkty4AwEOOTMvWKOFnFg_7_0"/>
      <w:bookmarkStart w:id="417" w:name="Tc_4YBNsP8tJUS9xO6FoXv4aQ_6_18"/>
      <w:bookmarkStart w:id="418" w:name="Tc_44Zl8UyXckO9IonZs6c9-w_6_12"/>
      <w:bookmarkStart w:id="419" w:name="Tc_AmRyQpXoK02B6QK22wFD8g_6_9"/>
      <w:bookmarkStart w:id="420" w:name="Tc_5emzqLGYokKl3TNtSJs0pw_6_6"/>
      <w:bookmarkStart w:id="421" w:name="Tc_czTCwCKDCUOCaxTgDbZawA_6_3"/>
      <w:bookmarkStart w:id="422" w:name="Tc_k_-yxwyyYUq7VKeJMzC5Wg_6_0"/>
      <w:bookmarkStart w:id="423" w:name="Tc_q-gPfDbzhUOmEYrip6ElBA_5_20"/>
      <w:bookmarkStart w:id="424" w:name="Tc_IFyy-h26k0yrp95RasGXWA_5_2"/>
      <w:bookmarkStart w:id="425" w:name="Tc_J1ahL-BSyEurykijT9k0hg_5_0"/>
      <w:bookmarkStart w:id="426" w:name="Tc_s4fvGNdGNkOJWmhODo-yUQ_4_20"/>
      <w:bookmarkStart w:id="427" w:name="Tc_Y0a7FuaRakuPQGtOZZjN2w_4_17"/>
      <w:bookmarkStart w:id="428" w:name="Tc_oCW2Ueby4ESLGns_aUGoGg_4_14"/>
      <w:bookmarkStart w:id="429" w:name="Tc_rvrD8hGj9k62lh-plqX_oA_4_11"/>
      <w:bookmarkStart w:id="430" w:name="Tc_4pmh8KAaz0aX17HEznORsA_4_8"/>
      <w:bookmarkStart w:id="431" w:name="Tc_s4pbzxAxI0ClaDwo9DJI2A_4_5"/>
      <w:bookmarkStart w:id="432" w:name="Tc_FL5QtgRDsUGIXEaedBcJ7A_4_2"/>
      <w:bookmarkStart w:id="433" w:name="Tc__Hnmwi3kBUSdCbZMe3iznw_3_17"/>
      <w:bookmarkStart w:id="434" w:name="Tc_KWS2O8qiM0WsL9A_wcc4tA_3_14"/>
      <w:bookmarkStart w:id="435" w:name="Tc_M39IoeQ9i0OFZbewIN0bNg_3_11"/>
      <w:bookmarkStart w:id="436" w:name="Tc_g9ZS4-tykU2BAlzol6Y3BA_3_8"/>
      <w:bookmarkStart w:id="437" w:name="Tc_ofMVpMyTeEaAIPO31LouZA_3_2"/>
      <w:bookmarkStart w:id="438" w:name="Tc_mzk7Pmjqz0WNgoSA15KfBw_2_11"/>
      <w:bookmarkStart w:id="439" w:name="Tc_xqglnHT2IEujaE2Ak-CWHw_2_8"/>
      <w:bookmarkStart w:id="440" w:name="Tc_LR4g3bHb-EGs19fbFJ_3dg_1_11"/>
      <w:bookmarkStart w:id="441" w:name="_9ff095b0_a06c_4926_832d_09bf3a51b164"/>
      <w:bookmarkStart w:id="442" w:name="Tc_decJfxKCu0GRHYmp5-N1-A_26_20"/>
      <w:bookmarkStart w:id="443" w:name="Tc_jID5k2xuNUmI1uQ3pUGMQw_26_17"/>
      <w:bookmarkStart w:id="444" w:name="Tc_j2UC9aJwq0euWgzU7XG7zA_26_14"/>
      <w:bookmarkStart w:id="445" w:name="Tc_GoxwcwOcaEK5FybcgXSnNQ_26_11"/>
      <w:bookmarkStart w:id="446" w:name="Tc_pIMB_hENAUm7lLoXzuuXig_26_8"/>
      <w:bookmarkStart w:id="447" w:name="Tc_BAzPCbZjqEeKXwB1wXfoXg_26_5"/>
      <w:bookmarkStart w:id="448" w:name="Tc_O357YzLt90-i1MMzAoJo-A_26_2"/>
      <w:bookmarkStart w:id="449" w:name="Tc_8zTHMrXchUuV2cIH8pbdxw_26_0"/>
      <w:bookmarkStart w:id="450" w:name="Tc_ouUiFZpJvk6IBjvsmYZ3rQ_25_18"/>
      <w:bookmarkStart w:id="451" w:name="Tc_2DQNx0IIok6HYCXU3kEUiQ_25_12"/>
      <w:bookmarkStart w:id="452" w:name="Tc_oOhsOG_jAE-zwqWy-G2bvA_25_9"/>
      <w:bookmarkStart w:id="453" w:name="Tc_242bTRbKPk2wxbyqVP3OyA_25_6"/>
      <w:bookmarkStart w:id="454" w:name="Tc_NN2trTxRy0m8D3_BdqXhiw_25_3"/>
      <w:bookmarkStart w:id="455" w:name="Tc_v-nJv02ZOEiuYyB_ZUxYcg_25_0"/>
      <w:bookmarkStart w:id="456" w:name="Tc_IuiCFr4hdUCNmbcxNKKLaA_24_0"/>
      <w:bookmarkStart w:id="457" w:name="Tc_CxUQvvopnUubJ3M5-qIFzA_23_15"/>
      <w:bookmarkStart w:id="458" w:name="Tc_0xEj302UeUi5XRaYkrfsSw_23_12"/>
      <w:bookmarkStart w:id="459" w:name="Tc_htAQQw2-JEuuk-pMwzj_PQ_23_9"/>
      <w:bookmarkStart w:id="460" w:name="Tc_sryt-SLj2EiX9SjNYxW6HQ_23_6"/>
      <w:bookmarkStart w:id="461" w:name="Tc_ZT3pvELmnkGNZC6MAoxfRg_23_3"/>
      <w:bookmarkStart w:id="462" w:name="Tc_PWQsKtD3WUCrre-vDS-fvA_23_0"/>
      <w:bookmarkStart w:id="463" w:name="Tc_VVwNgyjoPkWfhE7IsGwsYA_22_18"/>
      <w:bookmarkStart w:id="464" w:name="Tc_G6w7k7TD1UG4egeDZjyqhQ_22_15"/>
      <w:bookmarkStart w:id="465" w:name="Tc_2RCuHZR1QkGm4vEI1Nq57g_22_12"/>
      <w:bookmarkStart w:id="466" w:name="Tc_kM16A7PUT0S1OpdVsmj0Rg_22_6"/>
      <w:bookmarkStart w:id="467" w:name="Tc_cmjKo8t-kUOYtA_vrFh94w_22_3"/>
      <w:bookmarkStart w:id="468" w:name="Tc_bzNReCGT0EGK9mWakkehsA_22_0"/>
      <w:bookmarkStart w:id="469" w:name="Tc_r4WTQ72t4U66vVDBgm5iQQ_21_18"/>
      <w:bookmarkStart w:id="470" w:name="Tc_Zc45Iz0BLEuaM7GO07kXHQ_21_15"/>
      <w:bookmarkStart w:id="471" w:name="Tc_WSq8J9Lis02HTi5wKSDS4A_21_9"/>
      <w:bookmarkStart w:id="472" w:name="Tc_ORzjvBEM_0GrM_ZiBBIdBw_21_6"/>
      <w:bookmarkStart w:id="473" w:name="Tc_2FVR4f9ac0OuznBgvp1EgA_21_3"/>
      <w:bookmarkStart w:id="474" w:name="Tc_EfsRkFpDt0mq7rNi1OHRpg_21_0"/>
      <w:bookmarkStart w:id="475" w:name="Tc_zFzrZen2lUy5xDm0cTQnYA_20_18"/>
      <w:bookmarkStart w:id="476" w:name="Tc_PwJ7-nwwSE-yGrlSmTOBGw_20_12"/>
      <w:bookmarkStart w:id="477" w:name="Tc_F4zF58-8l02xo68rcUL3Eg_20_9"/>
      <w:bookmarkStart w:id="478" w:name="Tc__-Er1Sj0uEG0ftWxfrspxQ_20_6"/>
      <w:bookmarkStart w:id="479" w:name="Tc_GXu4_CUBNUSWq-SwNwJDmA_20_3"/>
      <w:bookmarkStart w:id="480" w:name="Tc_63KYMi5IDUyButw-We5gcA_20_0"/>
      <w:bookmarkStart w:id="481" w:name="Tc_f9YIWDMzIUaJUiv5ZhfhtQ_19_0"/>
      <w:bookmarkStart w:id="482" w:name="Tc_VYcgM1RDAUmtup49SRYG4g_18_18"/>
      <w:bookmarkStart w:id="483" w:name="Tc_5Xu5cqzZ5kKOGIeYUoiiCg_18_12"/>
      <w:bookmarkStart w:id="484" w:name="Tc_TH9q_1zw0EOyxrrUhZUN0w_18_9"/>
      <w:bookmarkStart w:id="485" w:name="Tc_xpqDUKMHUEOWUOCDBXi40g_18_6"/>
      <w:bookmarkStart w:id="486" w:name="Tc_Es5FtLYj4UaTLm2hnQF52Q_18_3"/>
      <w:bookmarkStart w:id="487" w:name="Tc_5tb9e-mag0mkfe_RkmwpYA_18_0"/>
      <w:bookmarkStart w:id="488" w:name="Tc_PtxQ268x_U6wyvp46QbYNg_17_0"/>
      <w:bookmarkStart w:id="489" w:name="Tc_y7fdI28n1kCMXQBUsNt0cg_16_15"/>
      <w:bookmarkStart w:id="490" w:name="Tc_QnQ7ABL_xEGBEPF7jIPRog_16_12"/>
      <w:bookmarkStart w:id="491" w:name="Tc_K-DP7Lyh_UKug85CoY9YZg_16_9"/>
      <w:bookmarkStart w:id="492" w:name="Tc_LujhYRjz-EWutr2n3pUJUQ_16_6"/>
      <w:bookmarkStart w:id="493" w:name="Tc_G8ULA4i4YESn6bt6rVQ9Tw_16_3"/>
      <w:bookmarkStart w:id="494" w:name="Tc_ULaVXPbC6k6HKFwU9esAOQ_16_0"/>
      <w:bookmarkStart w:id="495" w:name="Tc_HId8xMBEnUGb_q9jEVGtoA_15_18"/>
      <w:bookmarkStart w:id="496" w:name="Tc_ymCF5jrT7Eyeo_6kCMfoXA_15_15"/>
      <w:bookmarkStart w:id="497" w:name="Tc_IlUBsGJafEOQThRPFixxCg_15_12"/>
      <w:bookmarkStart w:id="498" w:name="Tc_jI8CwBtEQ0WKgFPqPA3_Iw_15_6"/>
      <w:bookmarkStart w:id="499" w:name="Tc_BEZHDr465UqMutVZtBtV6Q_15_0"/>
      <w:bookmarkStart w:id="500" w:name="Tc_a-HLhgbrFUuP_EtnGLmwgA_14_18"/>
      <w:bookmarkStart w:id="501" w:name="Tc_CgP0cnLlo0eXxnIcRHhSqg_14_15"/>
      <w:bookmarkStart w:id="502" w:name="Tc_phrbVitKTU6Alk8BIMnJcg_14_9"/>
      <w:bookmarkStart w:id="503" w:name="Tc_rFn-ADE8PU2cl7uLyWIZ6A_14_6"/>
      <w:bookmarkStart w:id="504" w:name="Tc_VDpOzCZTLkKlWoVzqw7fug_14_3"/>
      <w:bookmarkStart w:id="505" w:name="Tc_C6USdHltrE-T426JAMPcjw_14_0"/>
      <w:bookmarkStart w:id="506" w:name="Tc_wot2brrCr0CxrXNypvnZXw_13_18"/>
      <w:bookmarkStart w:id="507" w:name="Tc_9vG5UC_bM0KaEwOkmKsngw_13_12"/>
      <w:bookmarkStart w:id="508" w:name="Tc_ZC7QCrGbEUGT2tWtRZtWCQ_13_9"/>
      <w:bookmarkStart w:id="509" w:name="Tc_ao0I8_K6CkG6iABdtStv_w_13_6"/>
      <w:bookmarkStart w:id="510" w:name="Tc_iJqr1YMIrkGU0Dp1Z51pZg_13_3"/>
      <w:bookmarkStart w:id="511" w:name="Tc_ycTs2KIo5UeSQw2sK8Xi2Q_13_0"/>
      <w:bookmarkStart w:id="512" w:name="Tc_1Is9IeVqakiQcXdWDMaBsw_12_0"/>
      <w:bookmarkStart w:id="513" w:name="Tc_NVfoZkscWUeQYqGQKXZj7g_11_18"/>
      <w:bookmarkStart w:id="514" w:name="Tc_QE6aBYL3b02dn3QXx8Bu7A_11_12"/>
      <w:bookmarkStart w:id="515" w:name="Tc_po0pcxWF4kKSdC4we0goXg_11_9"/>
      <w:bookmarkStart w:id="516" w:name="Tc_MjvTrzoCPEOjlS6FUCC7Tw_11_6"/>
      <w:bookmarkStart w:id="517" w:name="Tc_azEq2KzccUyV3CmCTT8ZOQ_11_3"/>
      <w:bookmarkStart w:id="518" w:name="Tc_2qJ48EmQ0ECdqy1-_CZxdg_11_0"/>
      <w:bookmarkStart w:id="519" w:name="Tc_ChXAntRstUmh3GmY6DwS-Q_10_0"/>
      <w:bookmarkStart w:id="520" w:name="Tc_xa2LPDQGjUCPgwksKk4LQQ_9_15"/>
      <w:bookmarkStart w:id="521" w:name="Tc_qpqP2WRR9Um2oXmdVZzOlQ_9_12"/>
      <w:bookmarkStart w:id="522" w:name="Tc_l_Sr08ZZhU2TyYPNMJDl3g_9_9"/>
      <w:bookmarkStart w:id="523" w:name="Tc_fLYB6hHCxESZj6UTqIWH6A_9_6"/>
      <w:bookmarkStart w:id="524" w:name="Tc_7DRlVP_vh0iItliWcjR3Vw_9_3"/>
      <w:bookmarkStart w:id="525" w:name="Tc_gWy6wm3Fh0KWH7FOh-DWAQ_9_0"/>
      <w:bookmarkStart w:id="526" w:name="Tc_K3u9t2SdI0SPTWU8eksvRQ_8_18"/>
      <w:bookmarkStart w:id="527" w:name="Tc_T5o0SrPXJUev-FQabUNdfg_8_15"/>
      <w:bookmarkStart w:id="528" w:name="Tc_xIjigJU4KEu5ONNjOnfkgA_8_12"/>
      <w:bookmarkStart w:id="529" w:name="Tc_PiMy2dIoVEi1F-lgCszVDw_8_6"/>
      <w:bookmarkStart w:id="530" w:name="Tc_oXV16g1JQkmXwh21jcp8rw_8_3"/>
      <w:bookmarkStart w:id="531" w:name="Tc_NkQS4QhqF06Q-76EqL23EA_8_0"/>
      <w:bookmarkStart w:id="532" w:name="Tc_stCntAajxUC0C7XzQ7FFbg_7_18"/>
      <w:bookmarkStart w:id="533" w:name="Tc_I8r1wJ6qNkmXIlEyIrI7yQ_7_15"/>
      <w:bookmarkStart w:id="534" w:name="Tc_PNu0CSTlKUmZzwYQw0klBQ_7_9"/>
      <w:bookmarkStart w:id="535" w:name="Tc_i0WQFQUBB0qd_fsCfO1CDQ_7_6"/>
      <w:bookmarkStart w:id="536" w:name="Tc_uXd80ekNTUqy-FBlH4SY-A_7_3"/>
      <w:bookmarkStart w:id="537" w:name="Tc_uswkty4AwEOOTMvWKOFnFg_7_0"/>
      <w:bookmarkStart w:id="538" w:name="Tc_4YBNsP8tJUS9xO6FoXv4aQ_6_18"/>
      <w:bookmarkStart w:id="539" w:name="Tc_44Zl8UyXckO9IonZs6c9-w_6_12"/>
      <w:bookmarkStart w:id="540" w:name="Tc_AmRyQpXoK02B6QK22wFD8g_6_9"/>
      <w:bookmarkStart w:id="541" w:name="Tc_5emzqLGYokKl3TNtSJs0pw_6_6"/>
      <w:bookmarkStart w:id="542" w:name="Tc_czTCwCKDCUOCaxTgDbZawA_6_3"/>
      <w:bookmarkStart w:id="543" w:name="Tc_k_-yxwyyYUq7VKeJMzC5Wg_6_0"/>
      <w:bookmarkStart w:id="544" w:name="Tc_q-gPfDbzhUOmEYrip6ElBA_5_20"/>
      <w:bookmarkStart w:id="545" w:name="Tc_IFyy-h26k0yrp95RasGXWA_5_2"/>
      <w:bookmarkStart w:id="546" w:name="Tc_J1ahL-BSyEurykijT9k0hg_5_0"/>
      <w:bookmarkStart w:id="547" w:name="Tc_s4fvGNdGNkOJWmhODo-yUQ_4_20"/>
      <w:bookmarkStart w:id="548" w:name="Tc_Y0a7FuaRakuPQGtOZZjN2w_4_17"/>
      <w:bookmarkStart w:id="549" w:name="Tc_oCW2Ueby4ESLGns_aUGoGg_4_14"/>
      <w:bookmarkStart w:id="550" w:name="Tc_rvrD8hGj9k62lh-plqX_oA_4_11"/>
      <w:bookmarkStart w:id="551" w:name="Tc_4pmh8KAaz0aX17HEznORsA_4_8"/>
      <w:bookmarkStart w:id="552" w:name="Tc_s4pbzxAxI0ClaDwo9DJI2A_4_5"/>
      <w:bookmarkStart w:id="553" w:name="Tc_FL5QtgRDsUGIXEaedBcJ7A_4_2"/>
      <w:bookmarkStart w:id="554" w:name="Tc__Hnmwi3kBUSdCbZMe3iznw_3_17"/>
      <w:bookmarkStart w:id="555" w:name="Tc_KWS2O8qiM0WsL9A_wcc4tA_3_14"/>
      <w:bookmarkStart w:id="556" w:name="Tc_M39IoeQ9i0OFZbewIN0bNg_3_11"/>
      <w:bookmarkStart w:id="557" w:name="Tc_g9ZS4-tykU2BAlzol6Y3BA_3_8"/>
      <w:bookmarkStart w:id="558" w:name="Tc_ofMVpMyTeEaAIPO31LouZA_3_2"/>
      <w:bookmarkStart w:id="559" w:name="Tc_mzk7Pmjqz0WNgoSA15KfBw_2_11"/>
      <w:bookmarkStart w:id="560" w:name="Tc_xqglnHT2IEujaE2Ak-CWHw_2_8"/>
      <w:bookmarkStart w:id="561" w:name="Tc_LR4g3bHb-EGs19fbFJ_3dg_1_11"/>
      <w:bookmarkStart w:id="562" w:name="_9ff095b0_a06c_4926_832d_09bf3a51b164"/>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tbl>
      <w:tblPr>
        <w:tblW w:w="10956" w:type="dxa"/>
        <w:jc w:val="left"/>
        <w:tblInd w:w="0" w:type="dxa"/>
        <w:tblLayout w:type="fixed"/>
        <w:tblCellMar>
          <w:top w:w="0" w:type="dxa"/>
          <w:left w:w="0" w:type="dxa"/>
          <w:bottom w:w="0" w:type="dxa"/>
          <w:right w:w="0" w:type="dxa"/>
        </w:tblCellMar>
      </w:tblPr>
      <w:tblGrid>
        <w:gridCol w:w="1351"/>
        <w:gridCol w:w="346"/>
        <w:gridCol w:w="211"/>
        <w:gridCol w:w="571"/>
        <w:gridCol w:w="346"/>
        <w:gridCol w:w="211"/>
        <w:gridCol w:w="346"/>
        <w:gridCol w:w="346"/>
        <w:gridCol w:w="211"/>
        <w:gridCol w:w="781"/>
        <w:gridCol w:w="346"/>
        <w:gridCol w:w="270"/>
        <w:gridCol w:w="946"/>
        <w:gridCol w:w="346"/>
        <w:gridCol w:w="226"/>
        <w:gridCol w:w="931"/>
        <w:gridCol w:w="346"/>
        <w:gridCol w:w="226"/>
        <w:gridCol w:w="991"/>
        <w:gridCol w:w="346"/>
        <w:gridCol w:w="226"/>
        <w:gridCol w:w="103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857885" cy="175260"/>
                      <wp:effectExtent l="0" t="0" r="0" b="0"/>
                      <wp:wrapNone/>
                      <wp:docPr id="275" name="Frame27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62585" cy="175260"/>
                      <wp:effectExtent l="0" t="0" r="0" b="0"/>
                      <wp:wrapNone/>
                      <wp:docPr id="278" name="Frame2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95935" cy="175260"/>
                      <wp:effectExtent l="0" t="0" r="0" b="0"/>
                      <wp:wrapNone/>
                      <wp:docPr id="284" name="Frame2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71450" cy="175260"/>
                      <wp:effectExtent l="0" t="0" r="0" b="0"/>
                      <wp:wrapNone/>
                      <wp:docPr id="286" name="Frame28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00710" cy="175260"/>
                      <wp:effectExtent l="0" t="0" r="0" b="0"/>
                      <wp:wrapNone/>
                      <wp:docPr id="287" name="Frame28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43510" cy="175260"/>
                      <wp:effectExtent l="0" t="0" r="0" b="0"/>
                      <wp:wrapNone/>
                      <wp:docPr id="289" name="Frame2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91185" cy="175260"/>
                      <wp:effectExtent l="0" t="0" r="0" b="0"/>
                      <wp:wrapNone/>
                      <wp:docPr id="290" name="Frame2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43510" cy="175260"/>
                      <wp:effectExtent l="0" t="0" r="0" b="0"/>
                      <wp:wrapNone/>
                      <wp:docPr id="292" name="Frame2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29285" cy="175260"/>
                      <wp:effectExtent l="0" t="0" r="0" b="0"/>
                      <wp:wrapNone/>
                      <wp:docPr id="293" name="Frame29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43510" cy="175260"/>
                      <wp:effectExtent l="0" t="0" r="0" b="0"/>
                      <wp:wrapNone/>
                      <wp:docPr id="295" name="Frame2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57860" cy="175260"/>
                      <wp:effectExtent l="0" t="0" r="0" b="0"/>
                      <wp:wrapNone/>
                      <wp:docPr id="296" name="Frame29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January 28, 2023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962,839</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(65,722)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5,648,700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(4,948,419)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1,598,638</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738,847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738,847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(21,486)</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12,754 shares under equity plans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917,652 shares of treasury stock (including excise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(284,181)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(284,181)</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declared: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$20.90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(339,259)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(339,259)</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February 3,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967,348</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(87,208)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6,048,288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(5,232,600)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1,697,068</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593,476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593,476</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9,174 shares under equity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329,483 shares of treasury stock (including excise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(122,202)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(122,202)</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declared: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$26.00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(413,716)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(413,716)</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February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971,524</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(49,851)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6,228,048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(5,354,802)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1,796,160</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570,187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570,187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7,315 shares under equity plans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3,825</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3,825</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300,013 shares of treasury stock (including excise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(108,795)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(108,795)</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declared: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$31.10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(485,584)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(485,584)</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January 31,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975,349</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(46,674)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6,312,651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(5,463,597)</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1,778,970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240"/>
        <w:ind w:left="0" w:right="0" w:firstLine="36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63" w:name="ConsolidatedStatementsofCashFlows_643449"/>
      <w:bookmarkStart w:id="564" w:name="_88e5b0ec_9142_4bbe_939f_a1e0fb9ac7bb"/>
      <w:bookmarkEnd w:id="563"/>
      <w:bookmarkEnd w:id="564"/>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Dollars in Thousands</w:t>
      </w:r>
    </w:p>
    <w:p>
      <w:pPr>
        <w:pStyle w:val="Normal"/>
        <w:bidi w:val="0"/>
        <w:spacing w:before="0" w:after="0"/>
        <w:jc w:val="left"/>
        <w:rPr>
          <w:sz w:val="4"/>
          <w:szCs w:val="4"/>
        </w:rPr>
      </w:pPr>
      <w:r>
        <w:rPr>
          <w:sz w:val="4"/>
          <w:szCs w:val="4"/>
        </w:rPr>
      </w:r>
      <w:bookmarkStart w:id="565" w:name="Tc_ZHkELMJu20ym3TSDmdYlWg_38_0"/>
      <w:bookmarkStart w:id="566" w:name="Tc_CvH_oO0PCU-cyVNHu9zhZQ_37_0"/>
      <w:bookmarkStart w:id="567" w:name="Tc_tEXLNCZGh0OjCiRuTn658Q_36_0"/>
      <w:bookmarkStart w:id="568" w:name="Tc_gTnC-kwI4keKMMgeZlS3Kw_35_7"/>
      <w:bookmarkStart w:id="569" w:name="Tc_dX3LU-CYRUmZzVpFfCPzfQ_35_4"/>
      <w:bookmarkStart w:id="570" w:name="Tc_kUpliXCG002mtDGiISnLyQ_35_1"/>
      <w:bookmarkStart w:id="571" w:name="Tc_jKGhBwH9WEm3kY0p_Rjajw_35_0"/>
      <w:bookmarkStart w:id="572" w:name="Tc_XJyCTTGiXk6y3g3tGGjtHQ_34_0"/>
      <w:bookmarkStart w:id="573" w:name="Tc_tzDrfr6Szkaid-gYg7DyPA_33_7"/>
      <w:bookmarkStart w:id="574" w:name="Tc_l5JLIuuL6k2qVnjkvtMrbQ_33_4"/>
      <w:bookmarkStart w:id="575" w:name="Tc_x1j89fVyg0y2Z5jXPBOG_g_33_1"/>
      <w:bookmarkStart w:id="576" w:name="Tc_QxqeLWHvwU-DbMCPGYfhQA_33_0"/>
      <w:bookmarkStart w:id="577" w:name="Tc_F8WZoMAezEOevbpfVRauwg_32_0"/>
      <w:bookmarkStart w:id="578" w:name="Tc_kaW1j9ohYEmnkgS31dXm1A_31_0"/>
      <w:bookmarkStart w:id="579" w:name="Tc_j3i0LeYiuUWsvt2tPwluvw_30_0"/>
      <w:bookmarkStart w:id="580" w:name="Tc_8CQrO3vg-Em6b78dx8nAcQ_29_8"/>
      <w:bookmarkStart w:id="581" w:name="Tc_MhPAE0IuxEqrI0SJwatvgQ_29_5"/>
      <w:bookmarkStart w:id="582" w:name="Tc_kVX5_XsKKkqtAy90tVFTfQ_29_0"/>
      <w:bookmarkStart w:id="583" w:name="Tc_giboFA0rDEKfa2Qdzx30gw_28_0"/>
      <w:bookmarkStart w:id="584" w:name="Tc_bGHTGUej9UKPO051zXljwg_27_0"/>
      <w:bookmarkStart w:id="585" w:name="Tc_mq5-vafomUmuMxgsJndqbQ_26_0"/>
      <w:bookmarkStart w:id="586" w:name="Tc_umSu-EzgCUWlaSiLQfvKaA_25_0"/>
      <w:bookmarkStart w:id="587" w:name="Tc_TNhJWSaIdEyEHDyULQ_cvA_24_8"/>
      <w:bookmarkStart w:id="588" w:name="Tc_fjtXfL2hEUeYjDXoC_Fqwg_24_5"/>
      <w:bookmarkStart w:id="589" w:name="Tc_iIT-2NKMREyn7rdeuexc-g_24_0"/>
      <w:bookmarkStart w:id="590" w:name="Tc_iZViKm6O40ix6mLlT4sqrA_23_0"/>
      <w:bookmarkStart w:id="591" w:name="Tc_xfByKIQjvkKlYir9yGc_Ew_22_0"/>
      <w:bookmarkStart w:id="592" w:name="Tc_DawL46lALEi2URmBIRH10g_21_5"/>
      <w:bookmarkStart w:id="593" w:name="Tc_IEG4eLPGO06yo3w_UG8vFg_21_0"/>
      <w:bookmarkStart w:id="594" w:name="Tc_MUBuZlc2BEaMn0kx_mNLcQ_20_0"/>
      <w:bookmarkStart w:id="595" w:name="Tc_s-C2YDJjik-l3j3655cJ_w_19_0"/>
      <w:bookmarkStart w:id="596" w:name="Tc_fAqEhJtNfkGd_3f-fOLhiQ_18_0"/>
      <w:bookmarkStart w:id="597" w:name="Tc_tj_mSlyw-0-jeHAOazGAcg_17_0"/>
      <w:bookmarkStart w:id="598" w:name="Tc_esXG4Ugj10GhgzC7brXwQQ_16_0"/>
      <w:bookmarkStart w:id="599" w:name="Tc_VdVrWj9qaUu6egwmntKPHA_15_0"/>
      <w:bookmarkStart w:id="600" w:name="Tc_AZ-Y7S9Qb0qc_XgRWOjAoA_14_0"/>
      <w:bookmarkStart w:id="601" w:name="Tc_lgee-5zBH0-cGkSoHoVXuw_13_0"/>
      <w:bookmarkStart w:id="602" w:name="Tc_s_Qmculf50uP44RCLSxYhg_12_0"/>
      <w:bookmarkStart w:id="603" w:name="Tc_G5WnxwVyMEWcJDFMiVntXg_11_0"/>
      <w:bookmarkStart w:id="604" w:name="Tc_qcnGrjcQnUaIP9w1Lzurlg_10_0"/>
      <w:bookmarkStart w:id="605" w:name="Tc_5HFhnd2lcke8xOI2XxnH1Q_9_0"/>
      <w:bookmarkStart w:id="606" w:name="Tc_dZaSfoqzaUuWkJieWiZ6Ww_8_0"/>
      <w:bookmarkStart w:id="607" w:name="Tc_ONWVZfwzYk-XP1UFoeyonw_7_0"/>
      <w:bookmarkStart w:id="608" w:name="Tc_lY-5istNk0GgHGGQ23wFmw_6_0"/>
      <w:bookmarkStart w:id="609" w:name="Tc_gDYv-8GQkUiUp_M3C7JkXw_5_0"/>
      <w:bookmarkStart w:id="610" w:name="Tc_BwlCr2VR90S7XiYX0eF7vA_4_7"/>
      <w:bookmarkStart w:id="611" w:name="Tc_27sudamq90GQ9NTSrYvJqw_4_4"/>
      <w:bookmarkStart w:id="612" w:name="Tc_WThX_k493EG4TeZFQ9v13g_4_1"/>
      <w:bookmarkStart w:id="613" w:name="Tc_dCxnDrnk9UOUgfPgsyqElQ_4_0"/>
      <w:bookmarkStart w:id="614" w:name="Tc_iEj7dDOD70CJNFi2tlHJ9A_3_0"/>
      <w:bookmarkStart w:id="615" w:name="Tc_qe_1E9sYn0qhIC-dhjlE7g_2_7"/>
      <w:bookmarkStart w:id="616" w:name="Tc_9T8e1Tv_cU-9S_7g5pv0ug_2_4"/>
      <w:bookmarkStart w:id="617" w:name="Tc_cKMxt5eURk6auQyciM5Zrg_2_1"/>
      <w:bookmarkStart w:id="618" w:name="Tc_6DS74F1ukECYDgY-pf28Yw_1_1"/>
      <w:bookmarkStart w:id="619" w:name="_4f10721c_bf0b_466c_9afa_f0cbdb97f476"/>
      <w:bookmarkStart w:id="620" w:name="Tc_ZHkELMJu20ym3TSDmdYlWg_38_0"/>
      <w:bookmarkStart w:id="621" w:name="Tc_CvH_oO0PCU-cyVNHu9zhZQ_37_0"/>
      <w:bookmarkStart w:id="622" w:name="Tc_tEXLNCZGh0OjCiRuTn658Q_36_0"/>
      <w:bookmarkStart w:id="623" w:name="Tc_gTnC-kwI4keKMMgeZlS3Kw_35_7"/>
      <w:bookmarkStart w:id="624" w:name="Tc_dX3LU-CYRUmZzVpFfCPzfQ_35_4"/>
      <w:bookmarkStart w:id="625" w:name="Tc_kUpliXCG002mtDGiISnLyQ_35_1"/>
      <w:bookmarkStart w:id="626" w:name="Tc_jKGhBwH9WEm3kY0p_Rjajw_35_0"/>
      <w:bookmarkStart w:id="627" w:name="Tc_XJyCTTGiXk6y3g3tGGjtHQ_34_0"/>
      <w:bookmarkStart w:id="628" w:name="Tc_tzDrfr6Szkaid-gYg7DyPA_33_7"/>
      <w:bookmarkStart w:id="629" w:name="Tc_l5JLIuuL6k2qVnjkvtMrbQ_33_4"/>
      <w:bookmarkStart w:id="630" w:name="Tc_x1j89fVyg0y2Z5jXPBOG_g_33_1"/>
      <w:bookmarkStart w:id="631" w:name="Tc_QxqeLWHvwU-DbMCPGYfhQA_33_0"/>
      <w:bookmarkStart w:id="632" w:name="Tc_F8WZoMAezEOevbpfVRauwg_32_0"/>
      <w:bookmarkStart w:id="633" w:name="Tc_kaW1j9ohYEmnkgS31dXm1A_31_0"/>
      <w:bookmarkStart w:id="634" w:name="Tc_j3i0LeYiuUWsvt2tPwluvw_30_0"/>
      <w:bookmarkStart w:id="635" w:name="Tc_8CQrO3vg-Em6b78dx8nAcQ_29_8"/>
      <w:bookmarkStart w:id="636" w:name="Tc_MhPAE0IuxEqrI0SJwatvgQ_29_5"/>
      <w:bookmarkStart w:id="637" w:name="Tc_kVX5_XsKKkqtAy90tVFTfQ_29_0"/>
      <w:bookmarkStart w:id="638" w:name="Tc_giboFA0rDEKfa2Qdzx30gw_28_0"/>
      <w:bookmarkStart w:id="639" w:name="Tc_bGHTGUej9UKPO051zXljwg_27_0"/>
      <w:bookmarkStart w:id="640" w:name="Tc_mq5-vafomUmuMxgsJndqbQ_26_0"/>
      <w:bookmarkStart w:id="641" w:name="Tc_umSu-EzgCUWlaSiLQfvKaA_25_0"/>
      <w:bookmarkStart w:id="642" w:name="Tc_TNhJWSaIdEyEHDyULQ_cvA_24_8"/>
      <w:bookmarkStart w:id="643" w:name="Tc_fjtXfL2hEUeYjDXoC_Fqwg_24_5"/>
      <w:bookmarkStart w:id="644" w:name="Tc_iIT-2NKMREyn7rdeuexc-g_24_0"/>
      <w:bookmarkStart w:id="645" w:name="Tc_iZViKm6O40ix6mLlT4sqrA_23_0"/>
      <w:bookmarkStart w:id="646" w:name="Tc_xfByKIQjvkKlYir9yGc_Ew_22_0"/>
      <w:bookmarkStart w:id="647" w:name="Tc_DawL46lALEi2URmBIRH10g_21_5"/>
      <w:bookmarkStart w:id="648" w:name="Tc_IEG4eLPGO06yo3w_UG8vFg_21_0"/>
      <w:bookmarkStart w:id="649" w:name="Tc_MUBuZlc2BEaMn0kx_mNLcQ_20_0"/>
      <w:bookmarkStart w:id="650" w:name="Tc_s-C2YDJjik-l3j3655cJ_w_19_0"/>
      <w:bookmarkStart w:id="651" w:name="Tc_fAqEhJtNfkGd_3f-fOLhiQ_18_0"/>
      <w:bookmarkStart w:id="652" w:name="Tc_tj_mSlyw-0-jeHAOazGAcg_17_0"/>
      <w:bookmarkStart w:id="653" w:name="Tc_esXG4Ugj10GhgzC7brXwQQ_16_0"/>
      <w:bookmarkStart w:id="654" w:name="Tc_VdVrWj9qaUu6egwmntKPHA_15_0"/>
      <w:bookmarkStart w:id="655" w:name="Tc_AZ-Y7S9Qb0qc_XgRWOjAoA_14_0"/>
      <w:bookmarkStart w:id="656" w:name="Tc_lgee-5zBH0-cGkSoHoVXuw_13_0"/>
      <w:bookmarkStart w:id="657" w:name="Tc_s_Qmculf50uP44RCLSxYhg_12_0"/>
      <w:bookmarkStart w:id="658" w:name="Tc_G5WnxwVyMEWcJDFMiVntXg_11_0"/>
      <w:bookmarkStart w:id="659" w:name="Tc_qcnGrjcQnUaIP9w1Lzurlg_10_0"/>
      <w:bookmarkStart w:id="660" w:name="Tc_5HFhnd2lcke8xOI2XxnH1Q_9_0"/>
      <w:bookmarkStart w:id="661" w:name="Tc_dZaSfoqzaUuWkJieWiZ6Ww_8_0"/>
      <w:bookmarkStart w:id="662" w:name="Tc_ONWVZfwzYk-XP1UFoeyonw_7_0"/>
      <w:bookmarkStart w:id="663" w:name="Tc_lY-5istNk0GgHGGQ23wFmw_6_0"/>
      <w:bookmarkStart w:id="664" w:name="Tc_gDYv-8GQkUiUp_M3C7JkXw_5_0"/>
      <w:bookmarkStart w:id="665" w:name="Tc_BwlCr2VR90S7XiYX0eF7vA_4_7"/>
      <w:bookmarkStart w:id="666" w:name="Tc_27sudamq90GQ9NTSrYvJqw_4_4"/>
      <w:bookmarkStart w:id="667" w:name="Tc_WThX_k493EG4TeZFQ9v13g_4_1"/>
      <w:bookmarkStart w:id="668" w:name="Tc_dCxnDrnk9UOUgfPgsyqElQ_4_0"/>
      <w:bookmarkStart w:id="669" w:name="Tc_iEj7dDOD70CJNFi2tlHJ9A_3_0"/>
      <w:bookmarkStart w:id="670" w:name="Tc_qe_1E9sYn0qhIC-dhjlE7g_2_7"/>
      <w:bookmarkStart w:id="671" w:name="Tc_9T8e1Tv_cU-9S_7g5pv0ug_2_4"/>
      <w:bookmarkStart w:id="672" w:name="Tc_cKMxt5eURk6auQyciM5Zrg_2_1"/>
      <w:bookmarkStart w:id="673" w:name="Tc_6DS74F1ukECYDgY-pf28Yw_1_1"/>
      <w:bookmarkStart w:id="674" w:name="_4f10721c_bf0b_466c_9afa_f0cbdb97f476"/>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tbl>
      <w:tblPr>
        <w:tblW w:w="10205" w:type="dxa"/>
        <w:jc w:val="left"/>
        <w:tblInd w:w="0" w:type="dxa"/>
        <w:tblLayout w:type="fixed"/>
        <w:tblCellMar>
          <w:top w:w="0" w:type="dxa"/>
          <w:left w:w="0" w:type="dxa"/>
          <w:bottom w:w="0" w:type="dxa"/>
          <w:right w:w="0" w:type="dxa"/>
        </w:tblCellMar>
      </w:tblPr>
      <w:tblGrid>
        <w:gridCol w:w="5582"/>
        <w:gridCol w:w="249"/>
        <w:gridCol w:w="1052"/>
        <w:gridCol w:w="346"/>
        <w:gridCol w:w="248"/>
        <w:gridCol w:w="1043"/>
        <w:gridCol w:w="346"/>
        <w:gridCol w:w="246"/>
        <w:gridCol w:w="1093"/>
      </w:tblGrid>
      <w:tr>
        <w:trPr/>
        <w:tc>
          <w:tcPr>
            <w:tcW w:w="5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544570" cy="175260"/>
                      <wp:effectExtent l="0" t="0" r="0" b="0"/>
                      <wp:wrapNone/>
                      <wp:docPr id="297" name="Frame296"/>
                      <a:graphic xmlns:a="http://schemas.openxmlformats.org/drawingml/2006/main">
                        <a:graphicData uri="http://schemas.microsoft.com/office/word/2010/wordprocessingShape">
                          <wps:wsp>
                            <wps:cNvSpPr txBox="1"/>
                            <wps:spPr>
                              <a:xfrm>
                                <a:off x="0" y="0"/>
                                <a:ext cx="3544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58115" cy="175260"/>
                      <wp:effectExtent l="0" t="0" r="0" b="0"/>
                      <wp:wrapNone/>
                      <wp:docPr id="298" name="Frame29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68020" cy="175260"/>
                      <wp:effectExtent l="0" t="0" r="0" b="0"/>
                      <wp:wrapNone/>
                      <wp:docPr id="299" name="Frame298"/>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57480" cy="175260"/>
                      <wp:effectExtent l="0" t="0" r="0" b="0"/>
                      <wp:wrapNone/>
                      <wp:docPr id="301" name="Frame30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62305" cy="175260"/>
                      <wp:effectExtent l="0" t="0" r="0" b="0"/>
                      <wp:wrapNone/>
                      <wp:docPr id="302" name="Frame301"/>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56210" cy="175260"/>
                      <wp:effectExtent l="0" t="0" r="0" b="0"/>
                      <wp:wrapNone/>
                      <wp:docPr id="304" name="Frame303"/>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4055" cy="175260"/>
                      <wp:effectExtent l="0" t="0" r="0" b="0"/>
                      <wp:wrapNone/>
                      <wp:docPr id="305" name="Frame304"/>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82" w:type="dxa"/>
            <w:tcBorders/>
            <w:vAlign w:val="center"/>
          </w:tcPr>
          <w:p>
            <w:pPr>
              <w:pStyle w:val="TableContents"/>
              <w:bidi w:val="0"/>
              <w:spacing w:before="0" w:after="0"/>
              <w:ind w:left="0" w:right="0" w:hanging="0"/>
              <w:jc w:val="left"/>
              <w:rPr/>
            </w:pPr>
            <w:r>
              <w:rPr/>
              <w:t>​</w:t>
            </w:r>
          </w:p>
        </w:tc>
        <w:tc>
          <w:tcPr>
            <w:tcW w:w="46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Years Ended</w:t>
            </w:r>
          </w:p>
        </w:tc>
      </w:tr>
      <w:tr>
        <w:trPr/>
        <w:tc>
          <w:tcPr>
            <w:tcW w:w="5582" w:type="dxa"/>
            <w:tcBorders/>
            <w:vAlign w:val="center"/>
          </w:tcPr>
          <w:p>
            <w:pPr>
              <w:pStyle w:val="TableContents"/>
              <w:bidi w:val="0"/>
              <w:spacing w:before="0" w:after="0"/>
              <w:ind w:left="0" w:right="0" w:hanging="0"/>
              <w:jc w:val="left"/>
              <w:rPr/>
            </w:pPr>
            <w:r>
              <w:rPr/>
              <w:t>​</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346" w:type="dxa"/>
            <w:tcBorders/>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 2025</w:t>
            </w:r>
          </w:p>
        </w:tc>
        <w:tc>
          <w:tcPr>
            <w:tcW w:w="346" w:type="dxa"/>
            <w:tcBorders/>
            <w:vAlign w:val="center"/>
          </w:tcPr>
          <w:p>
            <w:pPr>
              <w:pStyle w:val="TableContents"/>
              <w:bidi w:val="0"/>
              <w:spacing w:before="0" w:after="0"/>
              <w:ind w:left="0" w:right="0" w:hanging="0"/>
              <w:jc w:val="left"/>
              <w:rPr/>
            </w:pPr>
            <w:r>
              <w:rPr/>
              <w:t>  ​ ​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3, 2024</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Operating activities:</w:t>
            </w:r>
          </w:p>
        </w:tc>
        <w:tc>
          <w:tcPr>
            <w:tcW w:w="249"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pPr>
            <w:r>
              <w:rPr/>
              <w:t>  ​</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570,187</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593,476</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738,847</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to reconcile net income to net cash provided by operating activities:</w:t>
            </w:r>
          </w:p>
        </w:tc>
        <w:tc>
          <w:tcPr>
            <w:tcW w:w="249"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pPr>
            <w:r>
              <w:rPr/>
              <w:t>​</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 of property and other deferred costs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180,862</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179,522</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181,182</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w:t>
            </w:r>
          </w:p>
        </w:tc>
        <w:tc>
          <w:tcPr>
            <w:tcW w:w="249"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(7,308)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(8,992)</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(17,724)</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on disposal of assets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(20,373)</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(475)</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(6,053)</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interest on short-term investments</w:t>
            </w:r>
          </w:p>
        </w:tc>
        <w:tc>
          <w:tcPr>
            <w:tcW w:w="249"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(8,782)</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(11,757)</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(5,679)</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pPr>
            <w:r>
              <w:rPr/>
              <w:t>​</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accounts receivable</w:t>
            </w:r>
          </w:p>
        </w:tc>
        <w:tc>
          <w:tcPr>
            <w:tcW w:w="249"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15,976</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4,847</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(3,595)</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merchandise inventories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(29,051)</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(78,048)</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26,209</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other current assets</w:t>
            </w:r>
          </w:p>
        </w:tc>
        <w:tc>
          <w:tcPr>
            <w:tcW w:w="249"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21,702</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2,277</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(7,819)</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other assets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636</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(787)</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(4,678)</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trade accounts payable and accrued expenses and other liabilities</w:t>
            </w:r>
          </w:p>
        </w:tc>
        <w:tc>
          <w:tcPr>
            <w:tcW w:w="249"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(2,271)</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36,471</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(22,492)</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(Decrease) increase in income taxes payable</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(4,570)</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(2,407)</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5,392</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operating activities</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717,008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714,127</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883,590</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Investing activities: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pPr>
            <w:r>
              <w:rPr/>
              <w:t>  ​</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 of property and equipment and capitalized software</w:t>
            </w:r>
          </w:p>
        </w:tc>
        <w:tc>
          <w:tcPr>
            <w:tcW w:w="249"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(93,382)</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(104,552)</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(132,944)</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disposal of assets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25,743</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703</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6,328</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insurance</w:t>
            </w:r>
          </w:p>
        </w:tc>
        <w:tc>
          <w:tcPr>
            <w:tcW w:w="249"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1,521</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4,477</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 of short-term investments</w:t>
            </w:r>
          </w:p>
        </w:tc>
        <w:tc>
          <w:tcPr>
            <w:tcW w:w="249"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(534,638)</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(696,734)</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(295,354)</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maturities of short-term investments</w:t>
            </w:r>
          </w:p>
        </w:tc>
        <w:tc>
          <w:tcPr>
            <w:tcW w:w="249"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657,598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530,852</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301,899</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Investments related to joint ventures</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(34,305)</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(used in) investing activities</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22,537</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(269,731)</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(115,594)</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Financing activities: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pPr>
            <w:r>
              <w:rPr/>
              <w:t>  ​</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dividends paid</w:t>
            </w:r>
          </w:p>
        </w:tc>
        <w:tc>
          <w:tcPr>
            <w:tcW w:w="249"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(484,876)</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(413,795)</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(338,629)</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 of treasury stock</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(107,756)</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(121,034)</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(281,411)</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Issuance cost of line of credit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(3,307)</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financing activities</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(595,939)</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(534,829)</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(620,040)</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Increase (decrease) in cash and cash equivalents</w:t>
            </w:r>
          </w:p>
        </w:tc>
        <w:tc>
          <w:tcPr>
            <w:tcW w:w="249"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143,606</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(90,433)</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147,956</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and restricted cash, beginning of period</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717,854</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808,287</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660,331</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end of period</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861,460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717,854</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808,287</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transactions of investing and financing activities: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pPr>
            <w:r>
              <w:rPr/>
              <w:t>  ​</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capital expenditures</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7,116</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6,783</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6,219</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 awards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3,825</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4,176</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4,509</w:t>
            </w:r>
          </w:p>
        </w:tc>
      </w:tr>
      <w:tr>
        <w:trPr/>
        <w:tc>
          <w:tcPr>
            <w:tcW w:w="55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purchases of treasury stock and excise taxes</w:t>
            </w:r>
          </w:p>
        </w:tc>
        <w:tc>
          <w:tcPr>
            <w:tcW w:w="249"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1,039</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1,168</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2,770</w:t>
            </w:r>
          </w:p>
        </w:tc>
      </w:tr>
      <w:tr>
        <w:trPr/>
        <w:tc>
          <w:tcPr>
            <w:tcW w:w="55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assets obtained in exchange for new operating lease liabilities</w:t>
            </w:r>
          </w:p>
        </w:tc>
        <w:tc>
          <w:tcPr>
            <w:tcW w:w="249"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14,592</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2,852</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1093" w:type="dxa"/>
            <w:tcBorders/>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20,477</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75" w:name="NotestoConsolidatedFinancialStatements_9"/>
      <w:bookmarkEnd w:id="675"/>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Description of Business and 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Description of Business</w:t>
      </w:r>
      <w:r>
        <w:rPr>
          <w:rFonts w:ascii="Times New Roman;Times;serif" w:hAnsi="Times New Roman;Times;serif"/>
          <w:sz w:val="20"/>
        </w:rPr>
        <w:t>—Dillard’s, Inc. (“Dillard’s” or the “Company”) operates retail department stores, located primarily in the southeastern, southwestern and midwestern areas of the United States, and a general contracting construction company based in Little Rock, Arkansas. The Company’s fiscal year ends on the Saturday nearest January 31 of each year. Fiscal year 2025 ended on January 31, 2026 and included 52 weeks. Fiscal year 2024 ended on February 1, 2025 and included 52 weeks. Fiscal year 2023 ended on February 3, 2024 and included 53 weeks.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Consolidation</w:t>
      </w:r>
      <w:r>
        <w:rPr>
          <w:rFonts w:ascii="Times New Roman;Times;serif" w:hAnsi="Times New Roman;Times;serif"/>
          <w:sz w:val="20"/>
        </w:rPr>
        <w:t>—The accompanying consolidated financial statements include the accounts of Dillard’s, Inc. and its wholly owned subsidiaries (excluding Dillard’s Capital Trust I; see Note 7 for more information). Intercompany accounts and transactions are eliminated in consolidation. Investments in and advances to joint ventures are accounted for by the equity method where the Company does not have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Use of Estimates</w:t>
      </w:r>
      <w:r>
        <w:rPr>
          <w:rFonts w:ascii="Times New Roman;Times;serif" w:hAnsi="Times New Roman;Times;serif"/>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merchandise inventories, self-insured accruals, future cash flows and real estate values for impairment analysis, pension discount rate and taxes. Actual results could differ from those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Seasonality</w:t>
      </w:r>
      <w:r>
        <w:rPr>
          <w:rFonts w:ascii="Times New Roman;Times;serif" w:hAnsi="Times New Roman;Times;serif"/>
          <w:sz w:val="20"/>
        </w:rPr>
        <w:t>—The Company’s business is highly seasonal, and historically the Company has realized a significant portion of its sales, net income and cash flow in the last quarter of our fiscal year. Due to holiday buying patterns, sales for the fourth quarter average approximately one-third of annual sales. Additionally, working capital requirements fluctuate during the year, increasing in the third quarter in anticipation of the holiday season.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Cash Equivalents</w:t>
      </w:r>
      <w:r>
        <w:rPr>
          <w:rFonts w:ascii="Times New Roman;Times;serif" w:hAnsi="Times New Roman;Times;serif"/>
          <w:sz w:val="20"/>
        </w:rPr>
        <w:t>—The Company considers all highly liquid investments with an original maturity of 3 months or less when purchased or certificates of deposit with no early withdrawal penalty to be cash equivalents. The Company considers receivables from charge card companies to be cash equivalents because they settle the balances within 2 to 3 days.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Restricted Cash</w:t>
      </w:r>
      <w:r>
        <w:rPr>
          <w:rFonts w:ascii="Times New Roman;Times;serif" w:hAnsi="Times New Roman;Times;serif"/>
          <w:sz w:val="20"/>
        </w:rPr>
        <w:t>—Restricted cash consists of cash proceeds from the sale of property held in escrow for the acquisition of replacement property under like-kind exchange agreements. The escrow accounts are administered by an intermediary. Pursuant to the like-kind exchange agreements, the cash remains restricted for a maximum of 180 days from the date of the property sale pending the acquisition of replacement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Accounts Receivable</w:t>
      </w:r>
      <w:r>
        <w:rPr>
          <w:rFonts w:ascii="Times New Roman;Times;serif" w:hAnsi="Times New Roman;Times;serif"/>
          <w:sz w:val="20"/>
        </w:rPr>
        <w:t>—Accounts receivable primarily consists of construction receivables of the Company’s general contracting construction company, CDI Contractors, LLC (“CDI”), and the monthly settlements of Dillard’s share of earnings from its long-term marketing and servicing private label credit card portfolio alliances. Construction receivables are based on amounts billed to customers. The Company provides any allowance for doubtful accounts considered necessary based upon a review of outstanding receivables, historical collection information and existing economic conditions. Accounts receivable are ordinarily due 30 days after the issuance of the invoice. Contract retentions are due 30 days after completion of the project and acceptance by the owner. Accounts that are past due more than 120 days are considered for write-off based on individual credit evaluation and specific circumstances of the customer.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Short-term Investments</w:t>
      </w:r>
      <w:r>
        <w:rPr>
          <w:rFonts w:ascii="Times New Roman;Times;serif" w:hAnsi="Times New Roman;Times;serif"/>
          <w:sz w:val="20"/>
        </w:rPr>
        <w:t>—Short-term investments are securities with original maturities of greater than three months but less than twelve months and are comprised of U.S. Treasury Bills. The Company determines the classification of these securities as trading, available for sale or held to maturity at the time of purchase and re-evaluates these determinations at each balance sheet date. The Company’s short-term investments are classified as held-to-maturity for the periods presented as it has the positive intent and ability to hold these investments to maturity. The Company’s held-to-maturity investments are stated at amortized cost, which approximated fair value, and are periodically assessed for other-than-temporary impairment.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Merchandise Inventories</w:t>
      </w:r>
      <w:r>
        <w:rPr>
          <w:rFonts w:ascii="Times New Roman;Times;serif" w:hAnsi="Times New Roman;Times;serif"/>
          <w:sz w:val="20"/>
        </w:rPr>
        <w:t>—All of the Company’s inventories are valued at the lower of cost or market using the last-in, first-out (“LIFO”) inventory method. Approximately 95% of the Company’s inventories are valued using the LIFO retail inventory method. Under the retail inventory method, the valuation of inventories at cost and the resulting gross margins are calculated by applying a cost to retail ratio to the retail value of inventories. The retail inventory method is an averaging method that is widely used in the retail industry due to its practicality. Inherent in the retail inventory method calculation are certain significant management judgments including, among others, merchandise markon, markups and markdowns, which significantly impact the ending inventory valuation at cost as well as the resulting gross margins. During periods of deflation, inventory values on the first-in, first-out (“FIFO”) retail inventory method may be lower than the LIFO retail inventory method. Additionally, inventory values at LIFO cost may be in excess of net realizable value. At January 31, 2026 and February 1, 2025, merchandise inventories valued at LIFO, including adjustments as necessary to record inventory at the lower of cost or market, approximated the cost of such inventories using the FIFO retail inventory method. The application of the LIFO retail inventory method did not result in the recognition of any LIFO charges or credits affecting cost of sales for fiscal 2025, 2024 or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regularly records a provision for estimated shrinkage, thereby reducing the carrying value of merchandise inventory. Complete physical inventories of the Company’s stores and warehouses are generally performed no less frequently than annually, with the recorded amount of merchandise inventory being adjusted to coincide with these physical counts.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Property and Equipment</w:t>
      </w:r>
      <w:r>
        <w:rPr>
          <w:rFonts w:ascii="Times New Roman;Times;serif" w:hAnsi="Times New Roman;Times;serif"/>
          <w:sz w:val="20"/>
        </w:rPr>
        <w:t>—Property and equipment owned by the Company is stated at cost, which includes related interest costs incurred during periods of construction, less accumulated depreciation and amortization. Interest capitalized during fiscal 2025, 2024, and 2023 was $0.6 million, $2.0 million and $2.2 million, respectively. For financial reporting purposes, depreciation is computed by the straight-line method over estimated useful lives:</w:t>
      </w:r>
    </w:p>
    <w:p>
      <w:pPr>
        <w:pStyle w:val="TextBody"/>
        <w:bidi w:val="0"/>
        <w:spacing w:before="0" w:after="0"/>
        <w:ind w:left="0" w:right="0" w:hanging="0"/>
        <w:jc w:val="left"/>
        <w:rPr/>
      </w:pPr>
      <w:r>
        <w:rPr/>
        <w:t>​</w:t>
      </w:r>
    </w:p>
    <w:tbl>
      <w:tblPr>
        <w:tblW w:w="4833" w:type="dxa"/>
        <w:jc w:val="left"/>
        <w:tblInd w:w="0" w:type="dxa"/>
        <w:tblLayout w:type="fixed"/>
        <w:tblCellMar>
          <w:top w:w="0" w:type="dxa"/>
          <w:left w:w="0" w:type="dxa"/>
          <w:bottom w:w="0" w:type="dxa"/>
          <w:right w:w="0" w:type="dxa"/>
        </w:tblCellMar>
      </w:tblPr>
      <w:tblGrid>
        <w:gridCol w:w="3301"/>
        <w:gridCol w:w="346"/>
        <w:gridCol w:w="118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96135" cy="175260"/>
                      <wp:effectExtent l="0" t="0" r="0" b="0"/>
                      <wp:wrapNone/>
                      <wp:docPr id="306" name="Frame305"/>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753110" cy="175260"/>
                      <wp:effectExtent l="0" t="0" r="0" b="0"/>
                      <wp:wrapNone/>
                      <wp:docPr id="308" name="Frame30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346" w:type="dxa"/>
            <w:tcBorders/>
            <w:shd w:fill="CCEEFF" w:val="clear"/>
            <w:vAlign w:val="center"/>
          </w:tcPr>
          <w:p>
            <w:pPr>
              <w:pStyle w:val="TableContents"/>
              <w:bidi w:val="0"/>
              <w:spacing w:before="0" w:after="0"/>
              <w:ind w:left="0" w:right="0" w:hanging="0"/>
              <w:jc w:val="center"/>
              <w:rPr/>
            </w:pPr>
            <w:r>
              <w:rPr/>
              <w:t>  ​ ​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20 - 40 years</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3 - 10 years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Properties leased by the Company under lease agreements which are determined to be finance leases are stated at an amount equal to the present value of the minimum lease payments during the lease term, less accumulated amortization. The assets under finance leases and leasehold improvements under operating leases are amortized on the straight-line method over the shorter of their useful lives or the related lease terms. The provision for amortization of assets under finance leases is included in depreciation and amortization expense, if 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Included in property and equipment as of January 31, 2026 and February 1, 2025 are assets held for sale in the amount of $6.8 million. During fiscal 2025, the Company received cash proceeds of $25.7 million and realized a gain of $20.4 million primarily related to the sale of five properties. During fiscal 2023, the Company received cash proceeds of $6.3 million and realized a gain of $6.1 million primarily related to the sale of two store properties.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and amortization on property and equipment was approximately $179 million, $178 million and $180 million for fiscal 2025,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Long-Lived Assets</w:t>
      </w:r>
      <w:r>
        <w:rPr>
          <w:rFonts w:ascii="Times New Roman;Times;serif" w:hAnsi="Times New Roman;Times;serif"/>
          <w:sz w:val="20"/>
        </w:rPr>
        <w:t>—Fair value measurements of long-lived assets used in operations are required when indicators of impairment are present and the undiscounted cash flows estimated to be generated by those assets are less than the assets’ carrying amount. In the evaluation of the fair value and future benefits of long-lived assets, the Company performs an analysis of the anticipated undiscounted future net cash flows of the related long-lived assets. This analysis is performed at the store unit level. If the carrying value of the related asset exceeds the fair value, the carrying value is reduced to its fair value. Various factors including future sales growth, profit margins and real estate values are included in this analysis. Management believes at this time that the carrying values and useful lives continue to be appropriate.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2024 and 2023, no asset impairment and store closing charges were recorded.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Other Assets</w:t>
      </w:r>
      <w:r>
        <w:rPr>
          <w:rFonts w:ascii="Times New Roman;Times;serif" w:hAnsi="Times New Roman;Times;serif"/>
          <w:sz w:val="20"/>
        </w:rPr>
        <w:t>—Other assets include investments accounted for by the equity and cost methods, capitalized software and cash surrender value of life insurance policies.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Vendor Allowances</w:t>
      </w:r>
      <w:r>
        <w:rPr>
          <w:rFonts w:ascii="Times New Roman;Times;serif" w:hAnsi="Times New Roman;Times;serif"/>
          <w:sz w:val="20"/>
        </w:rPr>
        <w:t>—The Company receives concessions from its vendors through a variety of programs and arrangements, including cooperative advertising and margin maintenance programs. The Company has agreements in place with vendors setting forth the specific conditions for each allowance or payment. These agreements range in periods from a few days to up to a year. If the payment is a reimbursement for costs incurred, it is offset against those related costs; otherwise, it is treated as a reduction to the cost of the merchandise. Amounts of vendor concessions are recorded only when an agreement has been reached with the vendor and the collection of the concession is deemed probable.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cooperative advertising programs, the Company generally offsets the allowances against the related advertising expense when incurred. Many of these programs require proof-of-advertising to be provided to the vendor to support the reimbursement of the incurred cost. Programs that do not require proof-of-advertising are monitored to ensure that the allowance provided by each vendor is a reimbursement of costs incurred to advertise for that particular vendor. If the allowance exceeds the advertising costs incurred on a vendor-specific basis, then the excess allowance from the vendor is recorded as a reduction of merchandise cost for that vendor.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Margin maintenance allowances are credited directly to cost of purchased merchandise in the period earned according to the agreement with the vendor. Under the retail method of accounting for inventory, a portion of these allowances reduces cost of goods sold and a portion reduces the carrying value of merchandise inventory.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Insurance Accruals</w:t>
      </w:r>
      <w:r>
        <w:rPr>
          <w:rFonts w:ascii="Times New Roman;Times;serif" w:hAnsi="Times New Roman;Times;serif"/>
          <w:sz w:val="20"/>
        </w:rPr>
        <w:t>—The Company’s consolidated balance sheets include liabilities with respect to self-insured workers’ compensation and general liability claims. The Company’s self-insured retention is insured through a wholly-owned captive insurance subsidiary. The Company estimates the required liability of such claims, utilizing an actuarial method, based upon various assumptions, which include, but are not limited to, the Company’s historical loss experience, projected loss development factors, actual payroll and other data. The required liability is also subject to adjustment in the future based upon the changes in claims experience, including changes in the number of incidents (frequency) and changes in the ultimate cost per incident (severity). As of January 31, 2026 and February 1, 2025, insurance accruals of $40.3 million and $40.1 million, respectively, were recorded in trade accounts payable and accrued expenses and other liabilities on the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Operating Leases</w:t>
      </w:r>
      <w:r>
        <w:rPr>
          <w:rFonts w:ascii="Times New Roman;Times;serif" w:hAnsi="Times New Roman;Times;serif"/>
          <w:sz w:val="20"/>
        </w:rPr>
        <w:t>—The Company leases retail stores, office space and equipment under operating leases. The Company records right-of-use assets and operating lease liabilities for operating leases with lease terms exceeding twelve months. The right-of-use assets are adjusted for lease incentives, including construction allowances and prepaid rent. The Company recognizes minimum rent expense on a straight-line basis over the lease term. Many leases contain contingent rent provisions. Contingent rent is expensed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lease term used for lease evaluation includes renewal option periods only in instances in which the exercise of the option period is reasonably certain.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Revenue Recognition</w:t>
      </w:r>
      <w:r>
        <w:rPr>
          <w:rFonts w:ascii="Times New Roman;Times;serif" w:hAnsi="Times New Roman;Times;serif"/>
          <w:sz w:val="20"/>
        </w:rPr>
        <w:t>—The Company’s retail operations segment recognizes merchandise revenue at the “point of sale”. An allowance for sales returns is recorded as a component of net sales in the period in which the related sales are recorded. Sales taxes collected from customers are excluded from revenue and are recorded in trade accounts payable and accrued expenses until remitted to the taxing authorities.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Citibank, N.A. (“Citi”) owns and manages Dillard’s private label cards under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agreement (“Citibank Alliance”) which expires in fiscal 2034. Pursuant to the Citibank Alliance, we receive on-going cash compensation from Citi based upon the portfolio’s earnings. The compensation received from the portfolio is determined monthly and has no recourse provisions. The amount the Company receives is dependent on the level of sales on Citi accounts, the level of balances carried on Citi accounts by Citi customers, payment rates on Citi accounts, finance charge rates and other fees on Citi accounts, the level of credit losses for the Citi accounts as well as Citi’s ability to extend credit to our customers. The Company’s share of income under the Citibank Alliance and former Wells Fargo Alliance is included as a component of service charges and other income. The Company recognized income of $39.6 million, $54.1 million and $67.2 million from the Citibank Alliance and former Wells Fargo Alliance in fiscal 2025, 2024 and 2023, respectively. The Company participates in the marketing of the private label credit cards, which includes the cost of customer reward programs. Through the reward programs, customers earn points that are redeemable for discounts on future purchases.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defers a portion of its net sales upon the sale of merchandise to its customer reward program members that is recognized in net sales when the reward is redeemed or expired at a future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Revenue from CDI construction contracts is generally measured based on the ratio of costs incurred to total estimated contract costs (the “cost-to-cost method”). The length of each contract varies but is typically </w:t>
      </w:r>
      <w:r>
        <w:rPr>
          <w:rFonts w:ascii="Times New Roman;Times;serif" w:hAnsi="Times New Roman;Times;serif"/>
          <w:b w:val="false"/>
          <w:i w:val="false"/>
          <w:caps w:val="false"/>
          <w:smallCaps w:val="false"/>
          <w:sz w:val="20"/>
        </w:rPr>
        <w:t>nine</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eighteen months</w:t>
      </w:r>
      <w:r>
        <w:rPr>
          <w:rFonts w:ascii="Times New Roman;Times;serif" w:hAnsi="Times New Roman;Times;serif"/>
          <w:sz w:val="20"/>
        </w:rPr>
        <w:t>. The progress towards completion is determined by relating the actual costs of work performed to date to the current estimated total costs of the respective contracts. When the estimate on a contract indicates a loss, the entire loss is recorded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Gift Card Revenue Recognition</w:t>
      </w:r>
      <w:r>
        <w:rPr>
          <w:rFonts w:ascii="Times New Roman;Times;serif" w:hAnsi="Times New Roman;Times;serif"/>
          <w:sz w:val="20"/>
        </w:rPr>
        <w:t>—The Company establishes a liability upon the sale of a gift card. The liability is relieved and revenue is recognized when gift cards are redeemed for merchandise. Gift card breakage income is determined based upon historical redemption patterns. The Company uses a homogeneous pool to recognize gift card breakage and will recognize income over the period in proportion to the pattern of rights exercised by the customer when the Company determines that it does not have a legal obligation to remit the value of unredeemed gift cards to the relevant jurisdiction as abandoned property. At that time, the Company will recognize breakage income over the performance period for those gift cards (i.e. 60 months) and will record it in service charges and other income. As of January 31, 2026 and February 1, 2025, gift card liabilities of $68.0 million and $65.6 million, respectively, were included in trade accounts payable and accrued expenses and other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Advertising</w:t>
      </w:r>
      <w:r>
        <w:rPr>
          <w:rFonts w:ascii="Times New Roman;Times;serif" w:hAnsi="Times New Roman;Times;serif"/>
          <w:sz w:val="20"/>
        </w:rPr>
        <w:t>—Advertising and promotional costs, which include newspaper, magazine, Internet, broadcast and other media advertising, are expensed as incurred and were approximately $36.3 million, $36.2 million and $38.1 million, net of cooperative advertising reimbursements of $3.5 million, $3.7 million and $4.4 million for fiscal 2025, 2024 and 2023, respectively. The Company records net advertising expenses in selling, general and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Income Taxes</w:t>
      </w:r>
      <w:r>
        <w:rPr>
          <w:rFonts w:ascii="Times New Roman;Times;serif" w:hAnsi="Times New Roman;Times;serif"/>
          <w:sz w:val="20"/>
        </w:rPr>
        <w:t>—Income taxes are recognized for the amount of taxes payable for the current year and deferred tax assets and liabilities for the future tax consequence of events that have been recognized differently in the financial statements than for tax purposes. Deferred tax assets and liabilities are established using statutory tax rates and are adjusted for tax rate changes. Tax positions are analyzed to determine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The Company classifies accrued interest expense and penalties relating to income tax in the consolidated financial statements as 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Shipping and Handling</w:t>
      </w:r>
      <w:r>
        <w:rPr>
          <w:rFonts w:ascii="Times New Roman;Times;serif" w:hAnsi="Times New Roman;Times;serif"/>
          <w:sz w:val="20"/>
        </w:rPr>
        <w:t>—The Company records shipping and handling reimbursements in service charges and other income. The Company records shipping and handling costs in cost of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Defined Benefit Retirement Plans</w:t>
      </w:r>
      <w:r>
        <w:rPr>
          <w:rFonts w:ascii="Times New Roman;Times;serif" w:hAnsi="Times New Roman;Times;serif"/>
          <w:sz w:val="20"/>
        </w:rPr>
        <w:t>—The Company’s defined benefit retirement plan costs are accounted for using actuarial valuations. The Company recognizes the funded status of its defined benefit pension plans on the consolidated balance sheet and recognizes changes in the funded status that arise during the period but that are not recognized as components of net periodic benefit cost, within other comprehensive income, net of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Comprehensive Income</w:t>
      </w:r>
      <w:r>
        <w:rPr>
          <w:rFonts w:ascii="Times New Roman;Times;serif" w:hAnsi="Times New Roman;Times;serif"/>
          <w:sz w:val="20"/>
        </w:rPr>
        <w:t>—Comprehensive income is defined as the change in equity (net assets) of a business enterprise during a period from transactions and other events and circumstances from non-owner sources. It consists of the net income or loss and other gains and losses affecting stockholders’ equity that, under GAAP, are excluded from net income or loss. One such exclusion is the amortization of retirement plan and other retiree benefit adjustments, which is the only item impacting our 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Supply Concentration</w:t>
      </w:r>
      <w:r>
        <w:rPr>
          <w:rFonts w:ascii="Times New Roman;Times;serif" w:hAnsi="Times New Roman;Times;serif"/>
          <w:sz w:val="20"/>
        </w:rPr>
        <w:t>—The Company purchases merchandise from many sources and does not believe that the Company was dependent on any one supplier during fiscal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Improvements to Income Tax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No.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The update requires increased transparency in tax disclosures, specifically by expanding requirements for rate reconciliation and income taxes paid information. ASU 2023-09 is effective for fiscal years beginning after December 15, 2024. The Company adopted ASU 2023-09 during the fiscal year ended January 31, 2026, and applied the amendments retrospectively to all periods presented in the Company’s consolidated financial statements. (see Note 6, </w:t>
      </w:r>
      <w:r>
        <w:rPr>
          <w:rFonts w:ascii="Times New Roman;Times;serif" w:hAnsi="Times New Roman;Times;serif"/>
          <w:i/>
          <w:sz w:val="20"/>
        </w:rPr>
        <w:t>Income Taxes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Management has considered all recent accounting pronouncements and, except as noted below, believes there is no accounting guidance issued but not yet effective that would be relevant to the Company’s consolidated financial statements.</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Disaggregation of Income Statement Expenses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November 2024, the FASB issued ASU No. 2024-03, </w:t>
      </w:r>
      <w:r>
        <w:rPr>
          <w:rFonts w:ascii="Times New Roman;Times;serif" w:hAnsi="Times New Roman;Times;serif"/>
          <w:i/>
          <w:sz w:val="20"/>
        </w:rPr>
        <w:t>Income Statement—Reporting Comprehensive Income—Expense Disaggregation Disclosures (Subtopic 220-40)</w:t>
      </w:r>
      <w:r>
        <w:rPr>
          <w:rFonts w:ascii="Times New Roman;Times;serif" w:hAnsi="Times New Roman;Times;serif"/>
          <w:sz w:val="20"/>
        </w:rPr>
        <w:t xml:space="preserve">. The update requires disclosure, in the notes to financial statements, of specified information about certain costs and expenses. The amendments in the update require that at each interim and annual reporting period an entity (i) disclose the amounts of (a) purchases of inventory, (b) employee compensation, (c) depreciation, (d) intangible asset amortization, and (e) depreciation, depletion, and amortization recognized as part of oil and gas-producing activities (DD&amp;A) (or other amounts of depletion expense) included in each relevant expense caption; (ii) include certain amounts that are already required to be disclosed under current GAAP in the same disclosure as the other disaggregation requirements; (iii) disclose a qualitative description of the amounts remaining in relevant expense captions that are not separately disaggregated quantitatively; and (iv) disclose the total amount of selling expenses and, in annual reporting periods, an entity’s definition of selling expenses. The amendments in this update are effective for annual reporting periods beginning after December 15, 2026, and interim reporting periods beginning after December 15, 2027. Early adoption is permitted. The Company is currently evaluating the impact that this guidance will have on its consolidated financial statements and accompanying notes. </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Accounting for Internal-Use Software</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the FASB issued ASU No. 2025-06, </w:t>
      </w:r>
      <w:r>
        <w:rPr>
          <w:rFonts w:ascii="Times New Roman;Times;serif" w:hAnsi="Times New Roman;Times;serif"/>
          <w:i/>
          <w:sz w:val="20"/>
        </w:rPr>
        <w:t>Intangibles – Goodwill and Other – Internal -Use Software (Subtopic 350-40): Targeted Improvements to the Accounting for Internal-Use Software</w:t>
      </w:r>
      <w:r>
        <w:rPr>
          <w:rFonts w:ascii="Times New Roman;Times;serif" w:hAnsi="Times New Roman;Times;serif"/>
          <w:sz w:val="20"/>
        </w:rPr>
        <w:t>. The update requires an entity to start capitalizing software costs when specific conditions are met and removes all references to software development project stages so that the guidance is neutral to different software development methods, including methods that entities may use to develop software in the future. ASU 2025-06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this ASU will have on potential future capitalizable software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Business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operates in two reportable segments: the operation of retail department stores and a general contracting construction company.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Company’s retail operations reportable segment, the Company determined its operating segments on a store by store basis. Each store’s operating performance has been aggregated into one reportable segment. The Company’s operating segments are aggregated for financial reporting purposes because they are similar in each of the following areas: economic characteristics, class of consumer, nature of products and distribution methods. Revenues from external customers are derived from merchandise sales, and the Company does not rely on any major customers as a source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76" w:name="Tc_CJ5cc633AUafhz1tHbtsZw_13_8"/>
      <w:bookmarkStart w:id="677" w:name="Tc__Y8EZZC7HkCcYjDN3PYpGw_13_5"/>
      <w:bookmarkStart w:id="678" w:name="Tc_X0hT-2zNvEy3CQQqOEuZbA_13_2"/>
      <w:bookmarkStart w:id="679" w:name="Tc_A6pi3gq6qUajKR6R_gi2-Q_13_0"/>
      <w:bookmarkStart w:id="680" w:name="Tc_WzSa2sz7dEqDuEMPv7HltQ_12_0"/>
      <w:bookmarkStart w:id="681" w:name="Tc_GsvzvaN920ypubrz2d2E8w_10_0"/>
      <w:bookmarkStart w:id="682" w:name="Tc_iVhlLoqLHUiN3CtnE5iLKg_9_0"/>
      <w:bookmarkStart w:id="683" w:name="Tc_CKeZyjtB0Eu8tR3KwZx6Vg_8_0"/>
      <w:bookmarkStart w:id="684" w:name="Tc_9Np1MhIOQEiva4Oh5MSCvw_7_0"/>
      <w:bookmarkStart w:id="685" w:name="Tc_Na49__zGRUWaDCMMSpP_pw_6_0"/>
      <w:bookmarkStart w:id="686" w:name="Tc__zP5Qew5vkKmKRfMKxck6w_5_0"/>
      <w:bookmarkStart w:id="687" w:name="Tc_B-eDJoMw5UKDfitQatm60Q_4_8"/>
      <w:bookmarkStart w:id="688" w:name="Tc_6p18dSoqpUu_ACE5bF0Ozg_4_5"/>
      <w:bookmarkStart w:id="689" w:name="Tc_F6p9QxpUZk-6SDa8lbQ25Q_4_2"/>
      <w:bookmarkStart w:id="690" w:name="Tc_WoJVfA4szEmvetsrfsDqwA_4_0"/>
      <w:bookmarkStart w:id="691" w:name="Tc_VxSu7sJTB0GCTKXaNi43QQ_3_0"/>
      <w:bookmarkStart w:id="692" w:name="Tc_omt1JhtV6U2V_WrCisclHw_2_7"/>
      <w:bookmarkStart w:id="693" w:name="Tc_WplbnWZC_0e0y3BvvuiQ2w_2_4"/>
      <w:bookmarkStart w:id="694" w:name="Tc_q6E6BXdkJUiPbM4UiNXUGA_2_1"/>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Pr>
          <w:rFonts w:ascii="Times New Roman;Times;serif" w:hAnsi="Times New Roman;Times;serif"/>
          <w:sz w:val="20"/>
        </w:rPr>
        <w:t>revenue. Across all stores, the Company operates one store format under the Dillard’s name where each store offers the same general mix of merchandise with similar categories and similar customers. The Company believes that disaggregating its operating segments would not provide meaningful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chief operating decision maker is the Executive Committee of the Board of Directors, which is comprised of Dillard’s Chief Executive Officer and its President. The members of Dillard’s Executive Committee use their experience in the retail industry and extensive and specific knowledge of the Dillard’s businesses when assessing segment performance and deciding how to allocate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percentage of net sales by segment and major product line:</w:t>
      </w:r>
    </w:p>
    <w:p>
      <w:pPr>
        <w:pStyle w:val="TextBody"/>
        <w:bidi w:val="0"/>
        <w:spacing w:before="0" w:after="0"/>
        <w:ind w:left="0" w:right="0" w:hanging="0"/>
        <w:jc w:val="left"/>
        <w:rPr/>
      </w:pPr>
      <w:r>
        <w:rPr/>
        <w:t>​</w:t>
      </w:r>
    </w:p>
    <w:tbl>
      <w:tblPr>
        <w:tblW w:w="5813" w:type="dxa"/>
        <w:jc w:val="left"/>
        <w:tblInd w:w="0" w:type="dxa"/>
        <w:tblLayout w:type="fixed"/>
        <w:tblCellMar>
          <w:top w:w="0" w:type="dxa"/>
          <w:left w:w="0" w:type="dxa"/>
          <w:bottom w:w="0" w:type="dxa"/>
          <w:right w:w="0" w:type="dxa"/>
        </w:tblCellMar>
      </w:tblPr>
      <w:tblGrid>
        <w:gridCol w:w="2686"/>
        <w:gridCol w:w="566"/>
        <w:gridCol w:w="364"/>
        <w:gridCol w:w="146"/>
        <w:gridCol w:w="501"/>
        <w:gridCol w:w="429"/>
        <w:gridCol w:w="146"/>
        <w:gridCol w:w="557"/>
        <w:gridCol w:w="418"/>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705610" cy="175260"/>
                      <wp:effectExtent l="0" t="0" r="0" b="0"/>
                      <wp:wrapNone/>
                      <wp:docPr id="309" name="Frame308"/>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59410" cy="175260"/>
                      <wp:effectExtent l="0" t="0" r="0" b="0"/>
                      <wp:wrapNone/>
                      <wp:docPr id="310" name="Frame309"/>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31140" cy="175260"/>
                      <wp:effectExtent l="0" t="0" r="0" b="0"/>
                      <wp:wrapNone/>
                      <wp:docPr id="311" name="Frame310"/>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92710" cy="175260"/>
                      <wp:effectExtent l="0" t="0" r="0" b="0"/>
                      <wp:wrapNone/>
                      <wp:docPr id="312" name="Frame3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18135" cy="175260"/>
                      <wp:effectExtent l="0" t="0" r="0" b="0"/>
                      <wp:wrapNone/>
                      <wp:docPr id="313" name="Frame312"/>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72415" cy="175260"/>
                      <wp:effectExtent l="0" t="0" r="0" b="0"/>
                      <wp:wrapNone/>
                      <wp:docPr id="314" name="Frame313"/>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2710" cy="175260"/>
                      <wp:effectExtent l="0" t="0" r="0" b="0"/>
                      <wp:wrapNone/>
                      <wp:docPr id="315" name="Frame31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53695" cy="175260"/>
                      <wp:effectExtent l="0" t="0" r="0" b="0"/>
                      <wp:wrapNone/>
                      <wp:docPr id="316" name="Frame315"/>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65430" cy="175260"/>
                      <wp:effectExtent l="0" t="0" r="0" b="0"/>
                      <wp:wrapNone/>
                      <wp:docPr id="317" name="Frame316"/>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146" w:type="dxa"/>
            <w:tcBorders/>
            <w:vAlign w:val="center"/>
          </w:tcPr>
          <w:p>
            <w:pPr>
              <w:pStyle w:val="TableContents"/>
              <w:bidi w:val="0"/>
              <w:spacing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146" w:type="dxa"/>
            <w:tcBorders/>
            <w:vAlign w:val="center"/>
          </w:tcPr>
          <w:p>
            <w:pPr>
              <w:pStyle w:val="TableContents"/>
              <w:bidi w:val="0"/>
              <w:spacing w:before="0" w:after="0"/>
              <w:ind w:left="0" w:right="0" w:hanging="0"/>
              <w:jc w:val="center"/>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operations segment:</w:t>
            </w:r>
          </w:p>
        </w:tc>
        <w:tc>
          <w:tcPr>
            <w:tcW w:w="566" w:type="dxa"/>
            <w:tcBorders/>
            <w:shd w:fill="CCEEFF" w:val="clear"/>
            <w:vAlign w:val="center"/>
          </w:tcPr>
          <w:p>
            <w:pPr>
              <w:pStyle w:val="TableContents"/>
              <w:bidi w:val="0"/>
              <w:spacing w:before="0" w:after="0"/>
              <w:ind w:left="0" w:right="0" w:hanging="0"/>
              <w:jc w:val="center"/>
              <w:rPr/>
            </w:pPr>
            <w:r>
              <w:rPr/>
              <w:t>  ​</w:t>
            </w:r>
          </w:p>
        </w:tc>
        <w:tc>
          <w:tcPr>
            <w:tcW w:w="364"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501" w:type="dxa"/>
            <w:tcBorders/>
            <w:shd w:fill="CCEEFF" w:val="clear"/>
            <w:vAlign w:val="center"/>
          </w:tcPr>
          <w:p>
            <w:pPr>
              <w:pStyle w:val="TableContents"/>
              <w:bidi w:val="0"/>
              <w:spacing w:before="0" w:after="0"/>
              <w:ind w:left="0" w:right="0" w:hanging="0"/>
              <w:jc w:val="center"/>
              <w:rPr/>
            </w:pPr>
            <w:r>
              <w:rPr/>
              <w:t>  ​</w:t>
            </w:r>
          </w:p>
        </w:tc>
        <w:tc>
          <w:tcPr>
            <w:tcW w:w="42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557" w:type="dxa"/>
            <w:tcBorders/>
            <w:shd w:fill="CCEEFF" w:val="clear"/>
            <w:vAlign w:val="center"/>
          </w:tcPr>
          <w:p>
            <w:pPr>
              <w:pStyle w:val="TableContents"/>
              <w:bidi w:val="0"/>
              <w:spacing w:before="0" w:after="0"/>
              <w:ind w:left="0" w:right="0" w:hanging="0"/>
              <w:jc w:val="center"/>
              <w:rPr/>
            </w:pPr>
            <w:r>
              <w:rPr/>
              <w:t>  ​</w:t>
            </w:r>
          </w:p>
        </w:tc>
        <w:tc>
          <w:tcPr>
            <w:tcW w:w="418" w:type="dxa"/>
            <w:tcBorders/>
            <w:shd w:fill="CCEEFF" w:val="cle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Cosmetics</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apparel</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4"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29"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18"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accessories and lingerie</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18"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Juniors’ and children’s apparel</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4"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29"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18"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Men’s apparel and accessories</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18"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Shoes</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4"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29"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18"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and furniture</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18"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4"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29"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18" w:type="dxa"/>
            <w:tcBorders/>
            <w:shd w:fill="CCEEFF" w:val="clear"/>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segment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18" w:type="dxa"/>
            <w:tcBorders/>
            <w:vAlign w:val="center"/>
          </w:tcPr>
          <w:p>
            <w:pPr>
              <w:pStyle w:val="TableContents"/>
              <w:bidi w:val="0"/>
              <w:spacing w:before="0" w:after="0"/>
              <w:ind w:left="0" w:right="0" w:hanging="0"/>
              <w:jc w:val="lef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 w:type="dxa"/>
            <w:tcBorders/>
            <w:shd w:fill="CCEEFF" w:val="clear"/>
            <w:vAlign w:val="center"/>
          </w:tcPr>
          <w:p>
            <w:pPr>
              <w:pStyle w:val="TableContents"/>
              <w:bidi w:val="0"/>
              <w:spacing w:before="0" w:after="0"/>
              <w:ind w:left="0" w:right="0" w:hanging="0"/>
              <w:jc w:val="left"/>
              <w:rPr/>
            </w:pPr>
            <w:r>
              <w:rPr/>
              <w:t>​</w:t>
            </w:r>
          </w:p>
        </w:tc>
        <w:tc>
          <w:tcPr>
            <w:tcW w:w="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695" w:name="_63df1bc3_617a_4b02_8d74_447da61e4dd1_4"/>
      <w:bookmarkStart w:id="696" w:name="_63df1bc3_617a_4b02_8d74_447da61e4dd1_3"/>
      <w:bookmarkStart w:id="697" w:name="_63df1bc3_617a_4b02_8d74_447da61e4dd1_2"/>
      <w:bookmarkStart w:id="698" w:name="_63df1bc3_617a_4b02_8d74_447da61e4dd1"/>
      <w:bookmarkStart w:id="699" w:name="Tc_uyDj4kZUj02NjmC0vxSMEg_28_9"/>
      <w:bookmarkStart w:id="700" w:name="Tc_Ywxu4n9k8UyJVqQ25gOaHw_28_6"/>
      <w:bookmarkStart w:id="701" w:name="Tc_pHoymTtBv06HUw6beRXVJA_28_3"/>
      <w:bookmarkStart w:id="702" w:name="Tc_ZsFoeSSeaE-a8vF7jJW_Ew_28_0"/>
      <w:bookmarkStart w:id="703" w:name="Tc_2T6Lmd5qS0aGCecQO4ZxGg_27_9"/>
      <w:bookmarkStart w:id="704" w:name="Tc_glErWZHhC0yX3ItwnOYcAA_27_6"/>
      <w:bookmarkStart w:id="705" w:name="Tc_-ZbQMf5GgU-UWf9mDCAWXA_27_3"/>
      <w:bookmarkStart w:id="706" w:name="Tc_HI_0HgHMvUmgp-e7DTk85A_27_0"/>
      <w:bookmarkStart w:id="707" w:name="Tc_T4b72lGVUUqD2L25heHTRw_25_11"/>
      <w:bookmarkStart w:id="708" w:name="Tc_BSkKd-g9QECe0bFvKCZuSw_25_8"/>
      <w:bookmarkStart w:id="709" w:name="Tc_kl6K56JaA0akFjsR5VTPiw_25_5"/>
      <w:bookmarkStart w:id="710" w:name="Tc_YobQxmfZUk6oUfVImpNvPg_25_0"/>
      <w:bookmarkStart w:id="711" w:name="Tc_WNHnMjQv1EK19DF2ddaF2Q_24_9"/>
      <w:bookmarkStart w:id="712" w:name="Tc__NEsaYVjGk6c0NH2oUp-4g_24_6"/>
      <w:bookmarkStart w:id="713" w:name="Tc_JXEr9oXudk24-81qoRczzQ_24_3"/>
      <w:bookmarkStart w:id="714" w:name="Tc_f84k4vcCxky9wGQCjGo9QA_24_0"/>
      <w:bookmarkStart w:id="715" w:name="Tc_sjTPS3kvqE-jlsuNfbPidA_22_9"/>
      <w:bookmarkStart w:id="716" w:name="Tc_uFnXzx1aI0SIYybS5VnOPA_22_0"/>
      <w:bookmarkStart w:id="717" w:name="Tc_2RL08p-ya02JbI9wJOM2vw_21_0"/>
      <w:bookmarkStart w:id="718" w:name="Tc_OrgDjfJvA0mZZlNGpYkMdw_20_0"/>
      <w:bookmarkStart w:id="719" w:name="Tc_bsulLqlESU2MwnB7tPBJ2A_19_6"/>
      <w:bookmarkStart w:id="720" w:name="Tc_3rGCMtXMlU2l6zmrZ54HYA_19_3"/>
      <w:bookmarkStart w:id="721" w:name="Tc_brujnVyehES6cx0euZoNeg_19_0"/>
      <w:bookmarkStart w:id="722" w:name="Tc_encCoK7FJ0qY0y23-XBh-g_18_0"/>
      <w:bookmarkStart w:id="723" w:name="Tc_XDfvt0diJkm_PFp8fPETIw_17_7"/>
      <w:bookmarkStart w:id="724" w:name="Tc_iazot-0plkCgvb9q8K0MDw_17_0"/>
      <w:bookmarkStart w:id="725" w:name="Tc_33xkJCngaEmzy_l-rNJXyA_16_0"/>
      <w:bookmarkStart w:id="726" w:name="Tc_OFpZgZ7n1kyZWiLIfRz4lg_15_0"/>
      <w:bookmarkStart w:id="727" w:name="Tc_KzFv718tBUOnX9rMtyzPGg_14_0"/>
      <w:bookmarkStart w:id="728" w:name="Tc_rlPilK_Qi06hvIv3JdhXkA_13_0"/>
      <w:bookmarkStart w:id="729" w:name="Tc_qnUDx5JsCUSbTq7M6yD64Q_12_0"/>
      <w:bookmarkStart w:id="730" w:name="Tc__VnsBCjydUquVnSXpCb_og_11_0"/>
      <w:bookmarkStart w:id="731" w:name="Tc_fW-r6Vtmf0ikO4su-YTS1A_9_0"/>
      <w:bookmarkStart w:id="732" w:name="Tc_odesuXT4WEiBagAjqFH69A_8_0"/>
      <w:bookmarkStart w:id="733" w:name="Tc_c-i2vcaOi0-mabhvAHwp1A_7_0"/>
      <w:bookmarkStart w:id="734" w:name="Tc_87BmCnxXDk21fNmlBAWpEQ_5_0"/>
      <w:bookmarkStart w:id="735" w:name="Tc_yBu4fDneXUmeji7xvExjKg_4_4"/>
      <w:bookmarkStart w:id="736" w:name="Tc_jvz_ycR-QU6ZTVGN_LLNrw_4_0"/>
      <w:bookmarkStart w:id="737" w:name="Tc_IveRMFXPbECjmYT66dzIFQ_3_9"/>
      <w:bookmarkStart w:id="738" w:name="Tc_krfCpWlE3kie--C9wdVg9g_3_6"/>
      <w:bookmarkStart w:id="739" w:name="Tc_Wpz7qdybb0eNy8LLT8qZRA_3_3"/>
      <w:bookmarkStart w:id="740" w:name="Tc_yNgt0PtUsUqmMPM8gUwsyA_3_0"/>
      <w:bookmarkStart w:id="741" w:name="Tc_n1NyHGLFwUe8hf5gmfOPkw_2_9"/>
      <w:bookmarkStart w:id="742" w:name="Tc_sDFAvL6hJkyXEKS7L9AE0w_2_6"/>
      <w:bookmarkStart w:id="743" w:name="Tc_d9hubtqgRkq3WFch3OizgQ_2_3"/>
      <w:bookmarkStart w:id="744" w:name="Tc_66bxbBRtmE2cIy8fx2uvIA_2_0"/>
      <w:bookmarkStart w:id="745" w:name="Tc_oOK7ZxtNyUaCCRyMtohyYA_1_3"/>
      <w:bookmarkStart w:id="746" w:name="_17d7e856_928b_49e9_9ca5_d06da635128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r>
        <w:rPr>
          <w:rFonts w:ascii="Times New Roman;Times;serif" w:hAnsi="Times New Roman;Times;serif"/>
          <w:sz w:val="20"/>
        </w:rPr>
        <w:t>The following tables summarize certain segment information, including the reconciliation of those items to the Company’s consolidated operations.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45"/>
        <w:gridCol w:w="109"/>
        <w:gridCol w:w="109"/>
        <w:gridCol w:w="256"/>
        <w:gridCol w:w="1134"/>
        <w:gridCol w:w="271"/>
        <w:gridCol w:w="223"/>
        <w:gridCol w:w="828"/>
        <w:gridCol w:w="271"/>
        <w:gridCol w:w="211"/>
        <w:gridCol w:w="931"/>
        <w:gridCol w:w="317"/>
      </w:tblGrid>
      <w:tr>
        <w:trPr/>
        <w:tc>
          <w:tcPr>
            <w:tcW w:w="5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521075" cy="175260"/>
                      <wp:effectExtent l="0" t="0" r="0" b="0"/>
                      <wp:wrapNone/>
                      <wp:docPr id="318" name="Frame317"/>
                      <a:graphic xmlns:a="http://schemas.openxmlformats.org/drawingml/2006/main">
                        <a:graphicData uri="http://schemas.microsoft.com/office/word/2010/wordprocessingShape">
                          <wps:wsp>
                            <wps:cNvSpPr txBox="1"/>
                            <wps:spPr>
                              <a:xfrm>
                                <a:off x="0" y="0"/>
                                <a:ext cx="3521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2560" cy="175260"/>
                      <wp:effectExtent l="0" t="0" r="0" b="0"/>
                      <wp:wrapNone/>
                      <wp:docPr id="321" name="Frame32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20090" cy="175260"/>
                      <wp:effectExtent l="0" t="0" r="0" b="0"/>
                      <wp:wrapNone/>
                      <wp:docPr id="322" name="Frame321"/>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72085" cy="175260"/>
                      <wp:effectExtent l="0" t="0" r="0" b="0"/>
                      <wp:wrapNone/>
                      <wp:docPr id="323" name="Frame32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41605" cy="175260"/>
                      <wp:effectExtent l="0" t="0" r="0" b="0"/>
                      <wp:wrapNone/>
                      <wp:docPr id="324" name="Frame32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25780" cy="175260"/>
                      <wp:effectExtent l="0" t="0" r="0" b="0"/>
                      <wp:wrapNone/>
                      <wp:docPr id="325" name="Frame324"/>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72085" cy="175260"/>
                      <wp:effectExtent l="0" t="0" r="0" b="0"/>
                      <wp:wrapNone/>
                      <wp:docPr id="326" name="Frame32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91185" cy="175260"/>
                      <wp:effectExtent l="0" t="0" r="0" b="0"/>
                      <wp:wrapNone/>
                      <wp:docPr id="328" name="Frame3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1295" cy="175260"/>
                      <wp:effectExtent l="0" t="0" r="0" b="0"/>
                      <wp:wrapNone/>
                      <wp:docPr id="329" name="Frame328"/>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2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 Operations</w:t>
            </w:r>
          </w:p>
        </w:tc>
        <w:tc>
          <w:tcPr>
            <w:tcW w:w="271"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271"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from customers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6,231,533</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268,740</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6,500,273</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 of intersegment revenues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(26,650)</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(26,650)</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from external customers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6,231,533</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242,090</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6,473,623</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of revenue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charges and other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89,594</w:t>
            </w:r>
          </w:p>
        </w:tc>
        <w:tc>
          <w:tcPr>
            <w:tcW w:w="271"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89,713</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 and service charges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6,321,127</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242,209</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6,563,336</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Less: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3,687,198</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229,664</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3,916,862</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Payroll expense </w:t>
            </w:r>
            <w:r>
              <w:rPr>
                <w:rFonts w:ascii="Times New Roman;Times;serif" w:hAnsi="Times New Roman;Times;serif"/>
                <w:sz w:val="15"/>
              </w:rPr>
              <w:t>(b)</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1,100,993</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7,050</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1,108,043</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179,024</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179,341</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19,009</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19,223</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(46,194)</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(47,212)</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debt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40,982</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(c)</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649,129</w:t>
            </w:r>
          </w:p>
        </w:tc>
        <w:tc>
          <w:tcPr>
            <w:tcW w:w="271"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2,488</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651,617</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 and equity in earnings of joint ventures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690,986</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694,480</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124,700</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earnings of joint ventures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570,187</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Gross margin </w:t>
            </w:r>
            <w:r>
              <w:rPr>
                <w:rFonts w:ascii="Times New Roman;Times;serif" w:hAnsi="Times New Roman;Times;serif"/>
                <w:sz w:val="15"/>
              </w:rPr>
              <w:t>(d)</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2,544,335</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12,426</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2,556,761</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 percentage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3,439,436</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65,587</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3,505,023</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92,659</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93,382</w:t>
            </w:r>
          </w:p>
        </w:tc>
        <w:tc>
          <w:tcPr>
            <w:tcW w:w="317"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(a)</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expense categories and amounts align with the segment-level information that is regularly provided to the chief operating decision maker.</w:t>
            </w:r>
          </w:p>
        </w:tc>
      </w:tr>
    </w:tbl>
    <w:tbl>
      <w:tblPr>
        <w:tblW w:w="10127" w:type="dxa"/>
        <w:jc w:val="left"/>
        <w:tblInd w:w="0" w:type="dxa"/>
        <w:tblLayout w:type="fixed"/>
        <w:tblCellMar>
          <w:top w:w="0" w:type="dxa"/>
          <w:left w:w="0" w:type="dxa"/>
          <w:bottom w:w="0" w:type="dxa"/>
          <w:right w:w="0" w:type="dxa"/>
        </w:tblCellMar>
      </w:tblPr>
      <w:tblGrid>
        <w:gridCol w:w="286"/>
        <w:gridCol w:w="984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(b)</w:t>
            </w:r>
          </w:p>
        </w:tc>
        <w:tc>
          <w:tcPr>
            <w:tcW w:w="9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expense does not include amounts capitalized on the balance sheet or included within other expense categories.</w:t>
            </w:r>
          </w:p>
        </w:tc>
      </w:tr>
    </w:tbl>
    <w:tbl>
      <w:tblPr>
        <w:tblW w:w="5147" w:type="dxa"/>
        <w:jc w:val="left"/>
        <w:tblInd w:w="0" w:type="dxa"/>
        <w:tblLayout w:type="fixed"/>
        <w:tblCellMar>
          <w:top w:w="0" w:type="dxa"/>
          <w:left w:w="0" w:type="dxa"/>
          <w:bottom w:w="0" w:type="dxa"/>
          <w:right w:w="0" w:type="dxa"/>
        </w:tblCellMar>
      </w:tblPr>
      <w:tblGrid>
        <w:gridCol w:w="271"/>
        <w:gridCol w:w="4876"/>
      </w:tblGrid>
      <w:tr>
        <w:trPr/>
        <w:tc>
          <w:tcPr>
            <w:tcW w:w="27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(c)</w:t>
            </w:r>
          </w:p>
        </w:tc>
        <w:tc>
          <w:tcPr>
            <w:tcW w:w="4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for each reportable segment includes: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SG&amp;A items other than payroll expense</w:t>
            </w:r>
          </w:p>
        </w:tc>
      </w:tr>
    </w:tbl>
    <w:tbl>
      <w:tblPr>
        <w:tblW w:w="1686" w:type="dxa"/>
        <w:jc w:val="left"/>
        <w:tblInd w:w="0" w:type="dxa"/>
        <w:tblLayout w:type="fixed"/>
        <w:tblCellMar>
          <w:top w:w="28" w:type="dxa"/>
          <w:left w:w="28" w:type="dxa"/>
          <w:bottom w:w="28" w:type="dxa"/>
          <w:right w:w="28" w:type="dxa"/>
        </w:tblCellMar>
      </w:tblPr>
      <w:tblGrid>
        <w:gridCol w:w="124"/>
        <w:gridCol w:w="256"/>
        <w:gridCol w:w="1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assets</w:t>
            </w:r>
          </w:p>
        </w:tc>
      </w:tr>
    </w:tbl>
    <w:tbl>
      <w:tblPr>
        <w:tblW w:w="7382" w:type="dxa"/>
        <w:jc w:val="left"/>
        <w:tblInd w:w="0" w:type="dxa"/>
        <w:tblLayout w:type="fixed"/>
        <w:tblCellMar>
          <w:top w:w="0" w:type="dxa"/>
          <w:left w:w="0" w:type="dxa"/>
          <w:bottom w:w="0" w:type="dxa"/>
          <w:right w:w="0" w:type="dxa"/>
        </w:tblCellMar>
      </w:tblPr>
      <w:tblGrid>
        <w:gridCol w:w="286"/>
        <w:gridCol w:w="709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(d)</w:t>
            </w:r>
          </w:p>
        </w:tc>
        <w:tc>
          <w:tcPr>
            <w:tcW w:w="7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gross margin is Net sales from external customers less Cost of sales.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47" w:name="_c1a34239_f4b8_4f46_ac90_f16ce9cdbc4e_4"/>
      <w:bookmarkStart w:id="748" w:name="_c1a34239_f4b8_4f46_ac90_f16ce9cdbc4e_3"/>
      <w:bookmarkStart w:id="749" w:name="_c1a34239_f4b8_4f46_ac90_f16ce9cdbc4e_2"/>
      <w:bookmarkStart w:id="750" w:name="_c1a34239_f4b8_4f46_ac90_f16ce9cdbc4e"/>
      <w:bookmarkStart w:id="751" w:name="Tc_izoxzLoulEGrRbrhtDTUrw_28_9"/>
      <w:bookmarkStart w:id="752" w:name="Tc_zHXhqe6mXEiGcajpiFMNlA_28_6"/>
      <w:bookmarkStart w:id="753" w:name="Tc_6MyakSI9ekWPNXY0Ek6v8A_28_3"/>
      <w:bookmarkStart w:id="754" w:name="Tc_6A2uxvx-OEWsd6cEaLLWFg_28_0"/>
      <w:bookmarkStart w:id="755" w:name="Tc_hCx1162XgEK4KR2zM5VIzQ_27_9"/>
      <w:bookmarkStart w:id="756" w:name="Tc_VtxTbsX-ZUWs0O2zfxd2Bw_27_6"/>
      <w:bookmarkStart w:id="757" w:name="Tc_M0m9c04G3ECSaR-O8pLOzg_27_3"/>
      <w:bookmarkStart w:id="758" w:name="Tc_o9f0XJQgL0uvRxKa_l3Trw_27_0"/>
      <w:bookmarkStart w:id="759" w:name="Tc_988QqTISh0SDTZjFqI6Fjw_25_11"/>
      <w:bookmarkStart w:id="760" w:name="Tc_02yIsm0lfEGbQn-x0184_g_25_8"/>
      <w:bookmarkStart w:id="761" w:name="Tc_17BqQKwoXE28ELlk4N-ZjA_25_5"/>
      <w:bookmarkStart w:id="762" w:name="Tc_IkTt09gSIEeCYrO-I_hCRw_25_0"/>
      <w:bookmarkStart w:id="763" w:name="Tc_ZME_o08xkkSn61kOS9B1_w_24_9"/>
      <w:bookmarkStart w:id="764" w:name="Tc_wFVLcCv1QUippdo5BPyh3Q_24_6"/>
      <w:bookmarkStart w:id="765" w:name="Tc_HslPTEN-s0-bxQAiFhI7lg_24_3"/>
      <w:bookmarkStart w:id="766" w:name="Tc_AMFPSEAbskyLaNWhZ9ZqrA_24_0"/>
      <w:bookmarkStart w:id="767" w:name="Tc_rMScCYcUP0CM1ZEDbls2_Q_22_9"/>
      <w:bookmarkStart w:id="768" w:name="Tc_985HmAnc5Eqq5ID2nkeIIQ_22_0"/>
      <w:bookmarkStart w:id="769" w:name="Tc_d8vfMVj-lkeyO-PcUBz2rQ_21_10"/>
      <w:bookmarkStart w:id="770" w:name="Tc_r6XsyVZi0UKIUhWApn5uRw_21_0"/>
      <w:bookmarkStart w:id="771" w:name="Tc_5xdhhp4ht0-IrfrpK4k5Ig_20_0"/>
      <w:bookmarkStart w:id="772" w:name="Tc_Y8kD315ILUOOeb6cNUf7DA_19_6"/>
      <w:bookmarkStart w:id="773" w:name="Tc_2egGems10060lFg20tzxHQ_19_3"/>
      <w:bookmarkStart w:id="774" w:name="Tc_wPk0WKCrCEeKZaDK5a84RA_19_0"/>
      <w:bookmarkStart w:id="775" w:name="Tc_C-gtzOUKBky6qtgDfeCAjg_18_0"/>
      <w:bookmarkStart w:id="776" w:name="Tc_fJdse1ccf0qwPojepAK0LQ_17_7"/>
      <w:bookmarkStart w:id="777" w:name="Tc_RUkF6K9220-ipo1NaA04sg_17_0"/>
      <w:bookmarkStart w:id="778" w:name="Tc_WQLOtvI2uESoCj-dk0qP-g_16_0"/>
      <w:bookmarkStart w:id="779" w:name="Tc_qezENoFbok2nL6c1QsPvRw_15_0"/>
      <w:bookmarkStart w:id="780" w:name="Tc_Pec4qzM3YEq8ihdGDjPfmw_14_0"/>
      <w:bookmarkStart w:id="781" w:name="Tc_flrw4vKyDkWTQ7ZwWV28zA_13_0"/>
      <w:bookmarkStart w:id="782" w:name="Tc_IK-AcYoY_Ue28OJx9LW_pQ_12_0"/>
      <w:bookmarkStart w:id="783" w:name="Tc_cxJ7sv9gMEWyjdJ1ESIxkA_11_0"/>
      <w:bookmarkStart w:id="784" w:name="Tc_cFyiQvSfZkKl5EbEOqsNjg_9_0"/>
      <w:bookmarkStart w:id="785" w:name="Tc_SL3CDBMUkUOXgpNqj3KGfQ_8_0"/>
      <w:bookmarkStart w:id="786" w:name="Tc_-bv8f3faVUyQY9BdxiUoew_7_0"/>
      <w:bookmarkStart w:id="787" w:name="Tc_1dH1MivQQEeUtir5Kb_HRw_5_0"/>
      <w:bookmarkStart w:id="788" w:name="Tc_EfFbF4XgKk6ZUakXTovoLA_4_4"/>
      <w:bookmarkStart w:id="789" w:name="Tc_UUk-xO9eY0WxNnaViH695A_4_0"/>
      <w:bookmarkStart w:id="790" w:name="Tc_rXzYZTCsg0S5IGCsxV3KyA_3_9"/>
      <w:bookmarkStart w:id="791" w:name="Tc_oOhqbksAc0-egvoD6o_WCQ_3_6"/>
      <w:bookmarkStart w:id="792" w:name="Tc_CgOjplrjt0euGPYW7yBtHA_3_3"/>
      <w:bookmarkStart w:id="793" w:name="Tc_AcYzrznCpUaVS7LVaC9eMA_3_0"/>
      <w:bookmarkStart w:id="794" w:name="Tc_EWfCk3N-0ECmbik57zEaHA_2_9"/>
      <w:bookmarkStart w:id="795" w:name="Tc_mwHy_I911kee-yJwDBJXEA_2_6"/>
      <w:bookmarkStart w:id="796" w:name="Tc_7Ccin-7Wf0ihSuysBN-aUg_2_3"/>
      <w:bookmarkStart w:id="797" w:name="Tc_QVtkCoUiOUC-mPs9W-x78g_2_0"/>
      <w:bookmarkStart w:id="798" w:name="Tc_ZuGRkbxMnUGlTH6qco9nRA_1_3"/>
      <w:bookmarkStart w:id="799" w:name="_0ad79425_16e8_46dd_aeed_291e98ffda3d"/>
      <w:bookmarkStart w:id="800" w:name="_c1a34239_f4b8_4f46_ac90_f16ce9cdbc4e_4"/>
      <w:bookmarkStart w:id="801" w:name="_c1a34239_f4b8_4f46_ac90_f16ce9cdbc4e_3"/>
      <w:bookmarkStart w:id="802" w:name="_c1a34239_f4b8_4f46_ac90_f16ce9cdbc4e_2"/>
      <w:bookmarkStart w:id="803" w:name="_c1a34239_f4b8_4f46_ac90_f16ce9cdbc4e"/>
      <w:bookmarkStart w:id="804" w:name="Tc_izoxzLoulEGrRbrhtDTUrw_28_9"/>
      <w:bookmarkStart w:id="805" w:name="Tc_zHXhqe6mXEiGcajpiFMNlA_28_6"/>
      <w:bookmarkStart w:id="806" w:name="Tc_6MyakSI9ekWPNXY0Ek6v8A_28_3"/>
      <w:bookmarkStart w:id="807" w:name="Tc_6A2uxvx-OEWsd6cEaLLWFg_28_0"/>
      <w:bookmarkStart w:id="808" w:name="Tc_hCx1162XgEK4KR2zM5VIzQ_27_9"/>
      <w:bookmarkStart w:id="809" w:name="Tc_VtxTbsX-ZUWs0O2zfxd2Bw_27_6"/>
      <w:bookmarkStart w:id="810" w:name="Tc_M0m9c04G3ECSaR-O8pLOzg_27_3"/>
      <w:bookmarkStart w:id="811" w:name="Tc_o9f0XJQgL0uvRxKa_l3Trw_27_0"/>
      <w:bookmarkStart w:id="812" w:name="Tc_988QqTISh0SDTZjFqI6Fjw_25_11"/>
      <w:bookmarkStart w:id="813" w:name="Tc_02yIsm0lfEGbQn-x0184_g_25_8"/>
      <w:bookmarkStart w:id="814" w:name="Tc_17BqQKwoXE28ELlk4N-ZjA_25_5"/>
      <w:bookmarkStart w:id="815" w:name="Tc_IkTt09gSIEeCYrO-I_hCRw_25_0"/>
      <w:bookmarkStart w:id="816" w:name="Tc_ZME_o08xkkSn61kOS9B1_w_24_9"/>
      <w:bookmarkStart w:id="817" w:name="Tc_wFVLcCv1QUippdo5BPyh3Q_24_6"/>
      <w:bookmarkStart w:id="818" w:name="Tc_HslPTEN-s0-bxQAiFhI7lg_24_3"/>
      <w:bookmarkStart w:id="819" w:name="Tc_AMFPSEAbskyLaNWhZ9ZqrA_24_0"/>
      <w:bookmarkStart w:id="820" w:name="Tc_rMScCYcUP0CM1ZEDbls2_Q_22_9"/>
      <w:bookmarkStart w:id="821" w:name="Tc_985HmAnc5Eqq5ID2nkeIIQ_22_0"/>
      <w:bookmarkStart w:id="822" w:name="Tc_d8vfMVj-lkeyO-PcUBz2rQ_21_10"/>
      <w:bookmarkStart w:id="823" w:name="Tc_r6XsyVZi0UKIUhWApn5uRw_21_0"/>
      <w:bookmarkStart w:id="824" w:name="Tc_5xdhhp4ht0-IrfrpK4k5Ig_20_0"/>
      <w:bookmarkStart w:id="825" w:name="Tc_Y8kD315ILUOOeb6cNUf7DA_19_6"/>
      <w:bookmarkStart w:id="826" w:name="Tc_2egGems10060lFg20tzxHQ_19_3"/>
      <w:bookmarkStart w:id="827" w:name="Tc_wPk0WKCrCEeKZaDK5a84RA_19_0"/>
      <w:bookmarkStart w:id="828" w:name="Tc_C-gtzOUKBky6qtgDfeCAjg_18_0"/>
      <w:bookmarkStart w:id="829" w:name="Tc_fJdse1ccf0qwPojepAK0LQ_17_7"/>
      <w:bookmarkStart w:id="830" w:name="Tc_RUkF6K9220-ipo1NaA04sg_17_0"/>
      <w:bookmarkStart w:id="831" w:name="Tc_WQLOtvI2uESoCj-dk0qP-g_16_0"/>
      <w:bookmarkStart w:id="832" w:name="Tc_qezENoFbok2nL6c1QsPvRw_15_0"/>
      <w:bookmarkStart w:id="833" w:name="Tc_Pec4qzM3YEq8ihdGDjPfmw_14_0"/>
      <w:bookmarkStart w:id="834" w:name="Tc_flrw4vKyDkWTQ7ZwWV28zA_13_0"/>
      <w:bookmarkStart w:id="835" w:name="Tc_IK-AcYoY_Ue28OJx9LW_pQ_12_0"/>
      <w:bookmarkStart w:id="836" w:name="Tc_cxJ7sv9gMEWyjdJ1ESIxkA_11_0"/>
      <w:bookmarkStart w:id="837" w:name="Tc_cFyiQvSfZkKl5EbEOqsNjg_9_0"/>
      <w:bookmarkStart w:id="838" w:name="Tc_SL3CDBMUkUOXgpNqj3KGfQ_8_0"/>
      <w:bookmarkStart w:id="839" w:name="Tc_-bv8f3faVUyQY9BdxiUoew_7_0"/>
      <w:bookmarkStart w:id="840" w:name="Tc_1dH1MivQQEeUtir5Kb_HRw_5_0"/>
      <w:bookmarkStart w:id="841" w:name="Tc_EfFbF4XgKk6ZUakXTovoLA_4_4"/>
      <w:bookmarkStart w:id="842" w:name="Tc_UUk-xO9eY0WxNnaViH695A_4_0"/>
      <w:bookmarkStart w:id="843" w:name="Tc_rXzYZTCsg0S5IGCsxV3KyA_3_9"/>
      <w:bookmarkStart w:id="844" w:name="Tc_oOhqbksAc0-egvoD6o_WCQ_3_6"/>
      <w:bookmarkStart w:id="845" w:name="Tc_CgOjplrjt0euGPYW7yBtHA_3_3"/>
      <w:bookmarkStart w:id="846" w:name="Tc_AcYzrznCpUaVS7LVaC9eMA_3_0"/>
      <w:bookmarkStart w:id="847" w:name="Tc_EWfCk3N-0ECmbik57zEaHA_2_9"/>
      <w:bookmarkStart w:id="848" w:name="Tc_mwHy_I911kee-yJwDBJXEA_2_6"/>
      <w:bookmarkStart w:id="849" w:name="Tc_7Ccin-7Wf0ihSuysBN-aUg_2_3"/>
      <w:bookmarkStart w:id="850" w:name="Tc_QVtkCoUiOUC-mPs9W-x78g_2_0"/>
      <w:bookmarkStart w:id="851" w:name="Tc_ZuGRkbxMnUGlTH6qco9nRA_1_3"/>
      <w:bookmarkStart w:id="852" w:name="_0ad79425_16e8_46dd_aeed_291e98ffda3d"/>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tbl>
      <w:tblPr>
        <w:tblW w:w="10205" w:type="dxa"/>
        <w:jc w:val="left"/>
        <w:tblInd w:w="0" w:type="dxa"/>
        <w:tblLayout w:type="fixed"/>
        <w:tblCellMar>
          <w:top w:w="0" w:type="dxa"/>
          <w:left w:w="0" w:type="dxa"/>
          <w:bottom w:w="0" w:type="dxa"/>
          <w:right w:w="0" w:type="dxa"/>
        </w:tblCellMar>
      </w:tblPr>
      <w:tblGrid>
        <w:gridCol w:w="5545"/>
        <w:gridCol w:w="109"/>
        <w:gridCol w:w="109"/>
        <w:gridCol w:w="256"/>
        <w:gridCol w:w="1134"/>
        <w:gridCol w:w="271"/>
        <w:gridCol w:w="223"/>
        <w:gridCol w:w="828"/>
        <w:gridCol w:w="271"/>
        <w:gridCol w:w="211"/>
        <w:gridCol w:w="931"/>
        <w:gridCol w:w="317"/>
      </w:tblGrid>
      <w:tr>
        <w:trPr/>
        <w:tc>
          <w:tcPr>
            <w:tcW w:w="5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521075" cy="175260"/>
                      <wp:effectExtent l="0" t="0" r="0" b="0"/>
                      <wp:wrapNone/>
                      <wp:docPr id="330" name="Frame329"/>
                      <a:graphic xmlns:a="http://schemas.openxmlformats.org/drawingml/2006/main">
                        <a:graphicData uri="http://schemas.microsoft.com/office/word/2010/wordprocessingShape">
                          <wps:wsp>
                            <wps:cNvSpPr txBox="1"/>
                            <wps:spPr>
                              <a:xfrm>
                                <a:off x="0" y="0"/>
                                <a:ext cx="3521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2560" cy="175260"/>
                      <wp:effectExtent l="0" t="0" r="0" b="0"/>
                      <wp:wrapNone/>
                      <wp:docPr id="333" name="Frame33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720090" cy="175260"/>
                      <wp:effectExtent l="0" t="0" r="0" b="0"/>
                      <wp:wrapNone/>
                      <wp:docPr id="334" name="Frame333"/>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72085" cy="175260"/>
                      <wp:effectExtent l="0" t="0" r="0" b="0"/>
                      <wp:wrapNone/>
                      <wp:docPr id="335" name="Frame33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41605" cy="175260"/>
                      <wp:effectExtent l="0" t="0" r="0" b="0"/>
                      <wp:wrapNone/>
                      <wp:docPr id="336" name="Frame33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25780" cy="175260"/>
                      <wp:effectExtent l="0" t="0" r="0" b="0"/>
                      <wp:wrapNone/>
                      <wp:docPr id="337" name="Frame336"/>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72085" cy="175260"/>
                      <wp:effectExtent l="0" t="0" r="0" b="0"/>
                      <wp:wrapNone/>
                      <wp:docPr id="338" name="Frame33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91185" cy="175260"/>
                      <wp:effectExtent l="0" t="0" r="0" b="0"/>
                      <wp:wrapNone/>
                      <wp:docPr id="340" name="Frame3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1295" cy="175260"/>
                      <wp:effectExtent l="0" t="0" r="0" b="0"/>
                      <wp:wrapNone/>
                      <wp:docPr id="341" name="Frame34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2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 Operations</w:t>
            </w:r>
          </w:p>
        </w:tc>
        <w:tc>
          <w:tcPr>
            <w:tcW w:w="271"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271"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from customers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6,218,525</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295,218</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6,513,743</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 of intersegment revenues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(31,107)</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(31,107)</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from external customers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6,218,525</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264,111</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6,482,636</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of revenue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charges and other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107,398</w:t>
            </w:r>
          </w:p>
        </w:tc>
        <w:tc>
          <w:tcPr>
            <w:tcW w:w="271"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107,595</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 and service charges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6,325,923</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264,308</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6,590,231</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Less: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3,667,860</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251,689</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3,919,549</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Payroll expense </w:t>
            </w:r>
            <w:r>
              <w:rPr>
                <w:rFonts w:ascii="Times New Roman;Times;serif" w:hAnsi="Times New Roman;Times;serif"/>
                <w:sz w:val="15"/>
              </w:rPr>
              <w:t>(b)</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1,087,360</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7,338</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1,094,698</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177,498</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177,867</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21,199</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21,419</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(52,679)</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(53,569)</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debt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39,874</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(c)</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657,736</w:t>
            </w:r>
          </w:p>
        </w:tc>
        <w:tc>
          <w:tcPr>
            <w:tcW w:w="271"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2,956</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660,692</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 and equity in earnings of joint ventures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727,075</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2,626</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729,701</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136,225</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earnings of joint ventures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593,476</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Gross margin </w:t>
            </w:r>
            <w:r>
              <w:rPr>
                <w:rFonts w:ascii="Times New Roman;Times;serif" w:hAnsi="Times New Roman;Times;serif"/>
                <w:sz w:val="15"/>
              </w:rPr>
              <w:t>(d)</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2,550,665</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12,422</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2,563,087</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 percentage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1134"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55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3,453,795</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77,259</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3,531,054</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104,311</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104,552</w:t>
            </w:r>
          </w:p>
        </w:tc>
        <w:tc>
          <w:tcPr>
            <w:tcW w:w="317"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(a)</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expense categories and amounts align with the segment-level information that is regularly provided to the chief operating decision maker.</w:t>
            </w:r>
          </w:p>
        </w:tc>
      </w:tr>
    </w:tbl>
    <w:tbl>
      <w:tblPr>
        <w:tblW w:w="10127" w:type="dxa"/>
        <w:jc w:val="left"/>
        <w:tblInd w:w="0" w:type="dxa"/>
        <w:tblLayout w:type="fixed"/>
        <w:tblCellMar>
          <w:top w:w="0" w:type="dxa"/>
          <w:left w:w="0" w:type="dxa"/>
          <w:bottom w:w="0" w:type="dxa"/>
          <w:right w:w="0" w:type="dxa"/>
        </w:tblCellMar>
      </w:tblPr>
      <w:tblGrid>
        <w:gridCol w:w="286"/>
        <w:gridCol w:w="984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(b)</w:t>
            </w:r>
          </w:p>
        </w:tc>
        <w:tc>
          <w:tcPr>
            <w:tcW w:w="9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expense does not include amounts capitalized on the balance sheet or included within other expense categories.</w:t>
            </w:r>
          </w:p>
        </w:tc>
      </w:tr>
    </w:tbl>
    <w:tbl>
      <w:tblPr>
        <w:tblW w:w="5147" w:type="dxa"/>
        <w:jc w:val="left"/>
        <w:tblInd w:w="0" w:type="dxa"/>
        <w:tblLayout w:type="fixed"/>
        <w:tblCellMar>
          <w:top w:w="0" w:type="dxa"/>
          <w:left w:w="0" w:type="dxa"/>
          <w:bottom w:w="0" w:type="dxa"/>
          <w:right w:w="0" w:type="dxa"/>
        </w:tblCellMar>
      </w:tblPr>
      <w:tblGrid>
        <w:gridCol w:w="271"/>
        <w:gridCol w:w="4876"/>
      </w:tblGrid>
      <w:tr>
        <w:trPr/>
        <w:tc>
          <w:tcPr>
            <w:tcW w:w="27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(c)</w:t>
            </w:r>
          </w:p>
        </w:tc>
        <w:tc>
          <w:tcPr>
            <w:tcW w:w="4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for each reportable segment includes: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SG&amp;A items other than payroll expense</w:t>
            </w:r>
          </w:p>
        </w:tc>
      </w:tr>
    </w:tbl>
    <w:tbl>
      <w:tblPr>
        <w:tblW w:w="1686" w:type="dxa"/>
        <w:jc w:val="left"/>
        <w:tblInd w:w="0" w:type="dxa"/>
        <w:tblLayout w:type="fixed"/>
        <w:tblCellMar>
          <w:top w:w="28" w:type="dxa"/>
          <w:left w:w="28" w:type="dxa"/>
          <w:bottom w:w="28" w:type="dxa"/>
          <w:right w:w="28" w:type="dxa"/>
        </w:tblCellMar>
      </w:tblPr>
      <w:tblGrid>
        <w:gridCol w:w="124"/>
        <w:gridCol w:w="256"/>
        <w:gridCol w:w="1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assets</w:t>
            </w:r>
          </w:p>
        </w:tc>
      </w:tr>
    </w:tbl>
    <w:tbl>
      <w:tblPr>
        <w:tblW w:w="7382" w:type="dxa"/>
        <w:jc w:val="left"/>
        <w:tblInd w:w="0" w:type="dxa"/>
        <w:tblLayout w:type="fixed"/>
        <w:tblCellMar>
          <w:top w:w="0" w:type="dxa"/>
          <w:left w:w="0" w:type="dxa"/>
          <w:bottom w:w="0" w:type="dxa"/>
          <w:right w:w="0" w:type="dxa"/>
        </w:tblCellMar>
      </w:tblPr>
      <w:tblGrid>
        <w:gridCol w:w="286"/>
        <w:gridCol w:w="709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(d)</w:t>
            </w:r>
          </w:p>
        </w:tc>
        <w:tc>
          <w:tcPr>
            <w:tcW w:w="7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gross margin is Net sales from external customers less Cost of sales.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53" w:name="_d7fd531d_5c99_43a2_b4a8_eef181ff4b7a_4"/>
      <w:bookmarkStart w:id="854" w:name="_d7fd531d_5c99_43a2_b4a8_eef181ff4b7a_3"/>
      <w:bookmarkStart w:id="855" w:name="_d7fd531d_5c99_43a2_b4a8_eef181ff4b7a_2"/>
      <w:bookmarkStart w:id="856" w:name="_d7fd531d_5c99_43a2_b4a8_eef181ff4b7a"/>
      <w:bookmarkStart w:id="857" w:name="Tc_oO0rl_FMX0WT0m-IYfT3hw_28_8"/>
      <w:bookmarkStart w:id="858" w:name="Tc_UjN6vWH_202f1SgQjfxxzw_28_5"/>
      <w:bookmarkStart w:id="859" w:name="Tc_EEXf5kx5Yk-_5E-iF6hG7w_28_2"/>
      <w:bookmarkStart w:id="860" w:name="Tc_IKA2NtW7vE6Jhs-mAzEhUg_28_0"/>
      <w:bookmarkStart w:id="861" w:name="Tc_8fO_lY6-r0mBRHfDUQuwbQ_27_8"/>
      <w:bookmarkStart w:id="862" w:name="Tc_fDL3un6_Pku_G1rYIiur-Q_27_5"/>
      <w:bookmarkStart w:id="863" w:name="Tc_SK5OC-u0YkOIFBDkDJF2eQ_27_2"/>
      <w:bookmarkStart w:id="864" w:name="Tc_nZfW0k-OTkqq1ZzRkT5tug_27_0"/>
      <w:bookmarkStart w:id="865" w:name="Tc_YoGNGy9qXk2LMYewxbO9Pg_25_10"/>
      <w:bookmarkStart w:id="866" w:name="Tc_Qi7lZwpVA0WrG9nktii0Xg_25_7"/>
      <w:bookmarkStart w:id="867" w:name="Tc_VPpdCp-ZWEiFfBTNuwJ_ew_25_4"/>
      <w:bookmarkStart w:id="868" w:name="Tc_NWJ8dQ-IckW9ViM38LuFVA_25_0"/>
      <w:bookmarkStart w:id="869" w:name="Tc_3Ib2QaSCm0maWmpnXcoPvg_24_8"/>
      <w:bookmarkStart w:id="870" w:name="Tc_PNsWY3eRsUC4Myw0eisvRA_24_5"/>
      <w:bookmarkStart w:id="871" w:name="Tc_rWsnqCyc40CIQ-fRk08IBw_24_2"/>
      <w:bookmarkStart w:id="872" w:name="Tc_AVFMo_zSs0WCaQPiCXdpuQ_24_0"/>
      <w:bookmarkStart w:id="873" w:name="Tc_KND_bbOlzE6trfWDyvJlaA_22_8"/>
      <w:bookmarkStart w:id="874" w:name="Tc_f5zsCP2XvUuo_F_PTjZuNg_22_0"/>
      <w:bookmarkStart w:id="875" w:name="Tc_dTg-YeHOiU2xFO2FJDEVAw_21_9"/>
      <w:bookmarkStart w:id="876" w:name="Tc_vJj77T_htEywYyOznE_C5Q_21_0"/>
      <w:bookmarkStart w:id="877" w:name="Tc_Ias6uryBBEiG2Cyxpy0_4w_20_0"/>
      <w:bookmarkStart w:id="878" w:name="Tc_2JTzgTKnp0OVNWewvlv6Cw_19_5"/>
      <w:bookmarkStart w:id="879" w:name="Tc_NblQaQcTaUa2DKpIxFzGTQ_19_2"/>
      <w:bookmarkStart w:id="880" w:name="Tc_B4Et1pzWdUepONS3IEogCA_19_0"/>
      <w:bookmarkStart w:id="881" w:name="Tc_LiLvn-SlvkKedGnXEydQ-A_18_0"/>
      <w:bookmarkStart w:id="882" w:name="Tc_kWMDKyYqNke_ikQKU3Iqpw_17_6"/>
      <w:bookmarkStart w:id="883" w:name="Tc_SlvRP3ZU6kKZGr4ChAlrAw_17_0"/>
      <w:bookmarkStart w:id="884" w:name="Tc_nMCHrRz7EkGGrP4H_YGmQQ_16_0"/>
      <w:bookmarkStart w:id="885" w:name="Tc_ofi7K6Dt406Vo0DDW_bd5g_15_0"/>
      <w:bookmarkStart w:id="886" w:name="Tc_tQn9wnqnnkGKJ84_ah919A_14_0"/>
      <w:bookmarkStart w:id="887" w:name="Tc_ka8KKQp_F0yVv-2RdPWYvg_13_0"/>
      <w:bookmarkStart w:id="888" w:name="Tc_1yTgyc8gVEeGflfrg87rBQ_12_0"/>
      <w:bookmarkStart w:id="889" w:name="Tc_l16in1MjcUOBXUor23LQUg_11_0"/>
      <w:bookmarkStart w:id="890" w:name="Tc_yaUkpPyWs0udg0uQQIWJzA_9_0"/>
      <w:bookmarkStart w:id="891" w:name="Tc_n7XPtQh3NkqBAyOhyu86pQ_8_0"/>
      <w:bookmarkStart w:id="892" w:name="Tc_tC1lc4SNbEOKIiFqI1iScA_7_0"/>
      <w:bookmarkStart w:id="893" w:name="Tc_9P1k4gBp2kirEcyojuMI3w_5_0"/>
      <w:bookmarkStart w:id="894" w:name="Tc_qNkuJeaKDU-aaNUy28krpg_4_3"/>
      <w:bookmarkStart w:id="895" w:name="Tc_JzqneOL7I0e1f3YEktmD0w_4_0"/>
      <w:bookmarkStart w:id="896" w:name="Tc_Eg6aw37Co0ypYTNgGy0Nsg_3_8"/>
      <w:bookmarkStart w:id="897" w:name="Tc_jwPJEnSZkUSuoLO2HK3n4A_3_5"/>
      <w:bookmarkStart w:id="898" w:name="Tc_EE6hXp7cW0CgBTn2g3xSIg_3_2"/>
      <w:bookmarkStart w:id="899" w:name="Tc_H8udPZzemECfQWSe0QIPBg_3_0"/>
      <w:bookmarkStart w:id="900" w:name="Tc_onajmPPBBk2iKtN5W3SQHg_2_8"/>
      <w:bookmarkStart w:id="901" w:name="Tc_E3YPNmx4XEOm_M-UYwseSg_2_5"/>
      <w:bookmarkStart w:id="902" w:name="Tc_OAnj6mpT80Oe8ts3itPUpQ_2_2"/>
      <w:bookmarkStart w:id="903" w:name="Tc_M_dvlWgDtkyFPNt9a33WrA_2_0"/>
      <w:bookmarkStart w:id="904" w:name="Tc_sLxbnAoLu0C2VmYD6u83cQ_1_2"/>
      <w:bookmarkStart w:id="905" w:name="_e04d8ad8_b586_466d_94dd_561b7d643623"/>
      <w:bookmarkStart w:id="906" w:name="_d7fd531d_5c99_43a2_b4a8_eef181ff4b7a_4"/>
      <w:bookmarkStart w:id="907" w:name="_d7fd531d_5c99_43a2_b4a8_eef181ff4b7a_3"/>
      <w:bookmarkStart w:id="908" w:name="_d7fd531d_5c99_43a2_b4a8_eef181ff4b7a_2"/>
      <w:bookmarkStart w:id="909" w:name="_d7fd531d_5c99_43a2_b4a8_eef181ff4b7a"/>
      <w:bookmarkStart w:id="910" w:name="Tc_oO0rl_FMX0WT0m-IYfT3hw_28_8"/>
      <w:bookmarkStart w:id="911" w:name="Tc_UjN6vWH_202f1SgQjfxxzw_28_5"/>
      <w:bookmarkStart w:id="912" w:name="Tc_EEXf5kx5Yk-_5E-iF6hG7w_28_2"/>
      <w:bookmarkStart w:id="913" w:name="Tc_IKA2NtW7vE6Jhs-mAzEhUg_28_0"/>
      <w:bookmarkStart w:id="914" w:name="Tc_8fO_lY6-r0mBRHfDUQuwbQ_27_8"/>
      <w:bookmarkStart w:id="915" w:name="Tc_fDL3un6_Pku_G1rYIiur-Q_27_5"/>
      <w:bookmarkStart w:id="916" w:name="Tc_SK5OC-u0YkOIFBDkDJF2eQ_27_2"/>
      <w:bookmarkStart w:id="917" w:name="Tc_nZfW0k-OTkqq1ZzRkT5tug_27_0"/>
      <w:bookmarkStart w:id="918" w:name="Tc_YoGNGy9qXk2LMYewxbO9Pg_25_10"/>
      <w:bookmarkStart w:id="919" w:name="Tc_Qi7lZwpVA0WrG9nktii0Xg_25_7"/>
      <w:bookmarkStart w:id="920" w:name="Tc_VPpdCp-ZWEiFfBTNuwJ_ew_25_4"/>
      <w:bookmarkStart w:id="921" w:name="Tc_NWJ8dQ-IckW9ViM38LuFVA_25_0"/>
      <w:bookmarkStart w:id="922" w:name="Tc_3Ib2QaSCm0maWmpnXcoPvg_24_8"/>
      <w:bookmarkStart w:id="923" w:name="Tc_PNsWY3eRsUC4Myw0eisvRA_24_5"/>
      <w:bookmarkStart w:id="924" w:name="Tc_rWsnqCyc40CIQ-fRk08IBw_24_2"/>
      <w:bookmarkStart w:id="925" w:name="Tc_AVFMo_zSs0WCaQPiCXdpuQ_24_0"/>
      <w:bookmarkStart w:id="926" w:name="Tc_KND_bbOlzE6trfWDyvJlaA_22_8"/>
      <w:bookmarkStart w:id="927" w:name="Tc_f5zsCP2XvUuo_F_PTjZuNg_22_0"/>
      <w:bookmarkStart w:id="928" w:name="Tc_dTg-YeHOiU2xFO2FJDEVAw_21_9"/>
      <w:bookmarkStart w:id="929" w:name="Tc_vJj77T_htEywYyOznE_C5Q_21_0"/>
      <w:bookmarkStart w:id="930" w:name="Tc_Ias6uryBBEiG2Cyxpy0_4w_20_0"/>
      <w:bookmarkStart w:id="931" w:name="Tc_2JTzgTKnp0OVNWewvlv6Cw_19_5"/>
      <w:bookmarkStart w:id="932" w:name="Tc_NblQaQcTaUa2DKpIxFzGTQ_19_2"/>
      <w:bookmarkStart w:id="933" w:name="Tc_B4Et1pzWdUepONS3IEogCA_19_0"/>
      <w:bookmarkStart w:id="934" w:name="Tc_LiLvn-SlvkKedGnXEydQ-A_18_0"/>
      <w:bookmarkStart w:id="935" w:name="Tc_kWMDKyYqNke_ikQKU3Iqpw_17_6"/>
      <w:bookmarkStart w:id="936" w:name="Tc_SlvRP3ZU6kKZGr4ChAlrAw_17_0"/>
      <w:bookmarkStart w:id="937" w:name="Tc_nMCHrRz7EkGGrP4H_YGmQQ_16_0"/>
      <w:bookmarkStart w:id="938" w:name="Tc_ofi7K6Dt406Vo0DDW_bd5g_15_0"/>
      <w:bookmarkStart w:id="939" w:name="Tc_tQn9wnqnnkGKJ84_ah919A_14_0"/>
      <w:bookmarkStart w:id="940" w:name="Tc_ka8KKQp_F0yVv-2RdPWYvg_13_0"/>
      <w:bookmarkStart w:id="941" w:name="Tc_1yTgyc8gVEeGflfrg87rBQ_12_0"/>
      <w:bookmarkStart w:id="942" w:name="Tc_l16in1MjcUOBXUor23LQUg_11_0"/>
      <w:bookmarkStart w:id="943" w:name="Tc_yaUkpPyWs0udg0uQQIWJzA_9_0"/>
      <w:bookmarkStart w:id="944" w:name="Tc_n7XPtQh3NkqBAyOhyu86pQ_8_0"/>
      <w:bookmarkStart w:id="945" w:name="Tc_tC1lc4SNbEOKIiFqI1iScA_7_0"/>
      <w:bookmarkStart w:id="946" w:name="Tc_9P1k4gBp2kirEcyojuMI3w_5_0"/>
      <w:bookmarkStart w:id="947" w:name="Tc_qNkuJeaKDU-aaNUy28krpg_4_3"/>
      <w:bookmarkStart w:id="948" w:name="Tc_JzqneOL7I0e1f3YEktmD0w_4_0"/>
      <w:bookmarkStart w:id="949" w:name="Tc_Eg6aw37Co0ypYTNgGy0Nsg_3_8"/>
      <w:bookmarkStart w:id="950" w:name="Tc_jwPJEnSZkUSuoLO2HK3n4A_3_5"/>
      <w:bookmarkStart w:id="951" w:name="Tc_EE6hXp7cW0CgBTn2g3xSIg_3_2"/>
      <w:bookmarkStart w:id="952" w:name="Tc_H8udPZzemECfQWSe0QIPBg_3_0"/>
      <w:bookmarkStart w:id="953" w:name="Tc_onajmPPBBk2iKtN5W3SQHg_2_8"/>
      <w:bookmarkStart w:id="954" w:name="Tc_E3YPNmx4XEOm_M-UYwseSg_2_5"/>
      <w:bookmarkStart w:id="955" w:name="Tc_OAnj6mpT80Oe8ts3itPUpQ_2_2"/>
      <w:bookmarkStart w:id="956" w:name="Tc_M_dvlWgDtkyFPNt9a33WrA_2_0"/>
      <w:bookmarkStart w:id="957" w:name="Tc_sLxbnAoLu0C2VmYD6u83cQ_1_2"/>
      <w:bookmarkStart w:id="958" w:name="_e04d8ad8_b586_466d_94dd_561b7d643623"/>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tbl>
      <w:tblPr>
        <w:tblW w:w="10181" w:type="dxa"/>
        <w:jc w:val="left"/>
        <w:tblInd w:w="0" w:type="dxa"/>
        <w:tblLayout w:type="fixed"/>
        <w:tblCellMar>
          <w:top w:w="0" w:type="dxa"/>
          <w:left w:w="0" w:type="dxa"/>
          <w:bottom w:w="0" w:type="dxa"/>
          <w:right w:w="0" w:type="dxa"/>
        </w:tblCellMar>
      </w:tblPr>
      <w:tblGrid>
        <w:gridCol w:w="5626"/>
        <w:gridCol w:w="109"/>
        <w:gridCol w:w="257"/>
        <w:gridCol w:w="1138"/>
        <w:gridCol w:w="271"/>
        <w:gridCol w:w="223"/>
        <w:gridCol w:w="828"/>
        <w:gridCol w:w="271"/>
        <w:gridCol w:w="211"/>
        <w:gridCol w:w="931"/>
        <w:gridCol w:w="316"/>
      </w:tblGrid>
      <w:tr>
        <w:trPr/>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572510" cy="175260"/>
                      <wp:effectExtent l="0" t="0" r="0" b="0"/>
                      <wp:wrapNone/>
                      <wp:docPr id="342" name="Frame341"/>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63195" cy="175260"/>
                      <wp:effectExtent l="0" t="0" r="0" b="0"/>
                      <wp:wrapNone/>
                      <wp:docPr id="344" name="Frame34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22630" cy="175260"/>
                      <wp:effectExtent l="0" t="0" r="0" b="0"/>
                      <wp:wrapNone/>
                      <wp:docPr id="345" name="Frame344"/>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72085" cy="175260"/>
                      <wp:effectExtent l="0" t="0" r="0" b="0"/>
                      <wp:wrapNone/>
                      <wp:docPr id="346" name="Frame34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41605" cy="175260"/>
                      <wp:effectExtent l="0" t="0" r="0" b="0"/>
                      <wp:wrapNone/>
                      <wp:docPr id="347" name="Frame34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25780" cy="175260"/>
                      <wp:effectExtent l="0" t="0" r="0" b="0"/>
                      <wp:wrapNone/>
                      <wp:docPr id="348" name="Frame347"/>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72085" cy="175260"/>
                      <wp:effectExtent l="0" t="0" r="0" b="0"/>
                      <wp:wrapNone/>
                      <wp:docPr id="349" name="Frame34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91185" cy="175260"/>
                      <wp:effectExtent l="0" t="0" r="0" b="0"/>
                      <wp:wrapNone/>
                      <wp:docPr id="351" name="Frame35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0660" cy="175260"/>
                      <wp:effectExtent l="0" t="0" r="0" b="0"/>
                      <wp:wrapNone/>
                      <wp:docPr id="352" name="Frame3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3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2023</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109" w:type="dxa"/>
            <w:tcBorders/>
            <w:vAlign w:val="center"/>
          </w:tcPr>
          <w:p>
            <w:pPr>
              <w:pStyle w:val="TableContents"/>
              <w:bidi w:val="0"/>
              <w:spacing w:before="0" w:after="1"/>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 Operations</w:t>
            </w:r>
          </w:p>
        </w:tc>
        <w:tc>
          <w:tcPr>
            <w:tcW w:w="271"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271"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from customers</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6,479,580</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320,795</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6,800,375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 of intersegment revenues</w:t>
            </w:r>
          </w:p>
        </w:tc>
        <w:tc>
          <w:tcPr>
            <w:tcW w:w="109"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(48,322)</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(48,322)</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from external customers</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6,479,580</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272,473</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6,752,053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of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charges and other income</w:t>
            </w:r>
          </w:p>
        </w:tc>
        <w:tc>
          <w:tcPr>
            <w:tcW w:w="109"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122,080</w:t>
            </w:r>
          </w:p>
        </w:tc>
        <w:tc>
          <w:tcPr>
            <w:tcW w:w="271"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122,367</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 and service charges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6,601,660</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272,760</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6,874,420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Less: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3,770,509</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260,599</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4,031,108</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Payroll expense </w:t>
            </w:r>
            <w:r>
              <w:rPr>
                <w:rFonts w:ascii="Times New Roman;Times;serif" w:hAnsi="Times New Roman;Times;serif"/>
                <w:sz w:val="15"/>
              </w:rPr>
              <w:t>(b)</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1,079,215</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7,049</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1,086,264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179,315</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179,573</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Rentals</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21,353</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(44,567)</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(45,240)</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debt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40,640</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40,640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(c)</w:t>
            </w:r>
          </w:p>
        </w:tc>
        <w:tc>
          <w:tcPr>
            <w:tcW w:w="109"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641,339</w:t>
            </w:r>
          </w:p>
        </w:tc>
        <w:tc>
          <w:tcPr>
            <w:tcW w:w="271"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2,550</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643,889</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 and equity in earnings of joint ventures</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913,856</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2,761</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916,617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177,770</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earnings of joint ventures</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738,847</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Gross margin </w:t>
            </w:r>
            <w:r>
              <w:rPr>
                <w:rFonts w:ascii="Times New Roman;Times;serif" w:hAnsi="Times New Roman;Times;serif"/>
                <w:sz w:val="15"/>
              </w:rPr>
              <w:t>(d)</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2,709,071</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11,874</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2,720,945</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 percentage</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3,377,632</w:t>
            </w:r>
          </w:p>
        </w:tc>
        <w:tc>
          <w:tcPr>
            <w:tcW w:w="271"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71,274</w:t>
            </w:r>
          </w:p>
        </w:tc>
        <w:tc>
          <w:tcPr>
            <w:tcW w:w="27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3,448,906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132,599</w:t>
            </w:r>
          </w:p>
        </w:tc>
        <w:tc>
          <w:tcPr>
            <w:tcW w:w="271"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27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132,944</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(a)</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expense categories and amounts align with the segment-level information that is regularly provided to the chief operating decision maker.</w:t>
            </w:r>
          </w:p>
        </w:tc>
      </w:tr>
    </w:tbl>
    <w:tbl>
      <w:tblPr>
        <w:tblW w:w="10127" w:type="dxa"/>
        <w:jc w:val="left"/>
        <w:tblInd w:w="0" w:type="dxa"/>
        <w:tblLayout w:type="fixed"/>
        <w:tblCellMar>
          <w:top w:w="0" w:type="dxa"/>
          <w:left w:w="0" w:type="dxa"/>
          <w:bottom w:w="0" w:type="dxa"/>
          <w:right w:w="0" w:type="dxa"/>
        </w:tblCellMar>
      </w:tblPr>
      <w:tblGrid>
        <w:gridCol w:w="286"/>
        <w:gridCol w:w="984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(b)</w:t>
            </w:r>
          </w:p>
        </w:tc>
        <w:tc>
          <w:tcPr>
            <w:tcW w:w="9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expense does not include amounts capitalized on the balance sheet or included within other expense categories.</w:t>
            </w:r>
          </w:p>
        </w:tc>
      </w:tr>
    </w:tbl>
    <w:tbl>
      <w:tblPr>
        <w:tblW w:w="5147" w:type="dxa"/>
        <w:jc w:val="left"/>
        <w:tblInd w:w="0" w:type="dxa"/>
        <w:tblLayout w:type="fixed"/>
        <w:tblCellMar>
          <w:top w:w="0" w:type="dxa"/>
          <w:left w:w="0" w:type="dxa"/>
          <w:bottom w:w="0" w:type="dxa"/>
          <w:right w:w="0" w:type="dxa"/>
        </w:tblCellMar>
      </w:tblPr>
      <w:tblGrid>
        <w:gridCol w:w="271"/>
        <w:gridCol w:w="4876"/>
      </w:tblGrid>
      <w:tr>
        <w:trPr/>
        <w:tc>
          <w:tcPr>
            <w:tcW w:w="27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(c)</w:t>
            </w:r>
          </w:p>
        </w:tc>
        <w:tc>
          <w:tcPr>
            <w:tcW w:w="4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for each reportable segment includes: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SG&amp;A items other than payroll expense</w:t>
            </w:r>
          </w:p>
        </w:tc>
      </w:tr>
    </w:tbl>
    <w:tbl>
      <w:tblPr>
        <w:tblW w:w="1686" w:type="dxa"/>
        <w:jc w:val="left"/>
        <w:tblInd w:w="0" w:type="dxa"/>
        <w:tblLayout w:type="fixed"/>
        <w:tblCellMar>
          <w:top w:w="28" w:type="dxa"/>
          <w:left w:w="28" w:type="dxa"/>
          <w:bottom w:w="28" w:type="dxa"/>
          <w:right w:w="28" w:type="dxa"/>
        </w:tblCellMar>
      </w:tblPr>
      <w:tblGrid>
        <w:gridCol w:w="124"/>
        <w:gridCol w:w="256"/>
        <w:gridCol w:w="1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assets</w:t>
            </w:r>
          </w:p>
        </w:tc>
      </w:tr>
    </w:tbl>
    <w:tbl>
      <w:tblPr>
        <w:tblW w:w="7382" w:type="dxa"/>
        <w:jc w:val="left"/>
        <w:tblInd w:w="0" w:type="dxa"/>
        <w:tblLayout w:type="fixed"/>
        <w:tblCellMar>
          <w:top w:w="0" w:type="dxa"/>
          <w:left w:w="0" w:type="dxa"/>
          <w:bottom w:w="0" w:type="dxa"/>
          <w:right w:w="0" w:type="dxa"/>
        </w:tblCellMar>
      </w:tblPr>
      <w:tblGrid>
        <w:gridCol w:w="286"/>
        <w:gridCol w:w="709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(d)</w:t>
            </w:r>
          </w:p>
        </w:tc>
        <w:tc>
          <w:tcPr>
            <w:tcW w:w="7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gross margin is Net sales from external customers less Cost of sales.</w:t>
            </w:r>
          </w:p>
        </w:tc>
      </w:tr>
    </w:tbl>
    <w:p>
      <w:pPr>
        <w:pStyle w:val="TextBody"/>
        <w:bidi w:val="0"/>
        <w:spacing w:before="0" w:after="240"/>
        <w:ind w:left="108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59" w:name="Tc_TaECm65h9US1EBtKAmVuYw_6_0"/>
      <w:bookmarkStart w:id="960" w:name="Tc_lo-mGAmST0C5r-ZR_ercqQ_5_0"/>
      <w:bookmarkStart w:id="961" w:name="Tc_zilT7vGnp0eK5ydp7R8XEw_4_7"/>
      <w:bookmarkStart w:id="962" w:name="Tc_O4RAcOemOEasPlqUK8Ejpg_4_4"/>
      <w:bookmarkStart w:id="963" w:name="Tc_8MATqYAiIUe7659ohR9czw_4_1"/>
      <w:bookmarkStart w:id="964" w:name="Tc_Bwv2MFLuA0mcNlif0Hqfbg_4_0"/>
      <w:bookmarkStart w:id="965" w:name="Tc_vTCvDzH9mk6dLtYeRc42hg_3_7"/>
      <w:bookmarkStart w:id="966" w:name="Tc_G1MfQCTnMUC6HHOFINpFNA_3_4"/>
      <w:bookmarkStart w:id="967" w:name="Tc_wuhs0c8Eqke6VkEJQjk2_w_3_1"/>
      <w:bookmarkStart w:id="968" w:name="Tc_sGCHPKc6-km8b_y5zXGzmA_3_0"/>
      <w:bookmarkStart w:id="969" w:name="Tc_RACeSER3hEacpEM7T--rKg_2_7"/>
      <w:bookmarkStart w:id="970" w:name="Tc_alxvEcEU3ECNstZ0_qRubA_2_4"/>
      <w:bookmarkStart w:id="971" w:name="Tc_YgoI9SkQ6UatcuDmmbfc7g_2_1"/>
      <w:bookmarkStart w:id="972" w:name="Tc_KTvZnU-CyUikROZqZZRQhA_1_0"/>
      <w:bookmarkStart w:id="973" w:name="Tc_g5tamOXimE6Fp-sCffYtXg_4_7"/>
      <w:bookmarkStart w:id="974" w:name="Tc_9P8h6PLhJ0iWQDK5ITgsBg_4_4"/>
      <w:bookmarkStart w:id="975" w:name="Tc_MJ6716UjW0aCev7Fml0Vlw_4_1"/>
      <w:bookmarkStart w:id="976" w:name="Tc_4YAFLuVlVUqwzhIIw26Z-Q_4_0"/>
      <w:bookmarkStart w:id="977" w:name="Tc_jgLamUXG8E-k4nGVB6NkTg_3_7"/>
      <w:bookmarkStart w:id="978" w:name="Tc_ALAX5yp120CXC5H8PPbXuw_3_4"/>
      <w:bookmarkStart w:id="979" w:name="Tc_0g4rWtSE9E21rbIS3zVnNg_3_1"/>
      <w:bookmarkStart w:id="980" w:name="Tc_oF6q97lBPEWusSfthuDdKg_3_0"/>
      <w:bookmarkStart w:id="981" w:name="Tc_DFFR76hQqkC4g23BJxGdhg_2_7"/>
      <w:bookmarkStart w:id="982" w:name="Tc_apQ9s4Wli0GKQmbghcL9lA_2_4"/>
      <w:bookmarkStart w:id="983" w:name="Tc_C7asoOIX6EuoFttM_wYZ0Q_2_1"/>
      <w:bookmarkStart w:id="984" w:name="Tc_4RacYCKosUmGgjSTrc3lzw_1_0"/>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r>
        <w:rPr>
          <w:rFonts w:ascii="Times New Roman;Times;serif" w:hAnsi="Times New Roman;Times;serif"/>
          <w:sz w:val="20"/>
        </w:rPr>
        <w:t>The retail operations segment gives rise to contract liabilities through the customer loyalty program associated with Dillard’s private label cards and through the issuances of gift cards. The customer loyalty program liability and a portion of the gift card liability are included in trade accounts payable and accrued expenses, and a portion of the gift card liability is included in other liabilities on the consolidated balance sheets. Our retail operations segment contract liabilities are as follows:</w:t>
      </w:r>
    </w:p>
    <w:p>
      <w:pPr>
        <w:pStyle w:val="TextBody"/>
        <w:bidi w:val="0"/>
        <w:spacing w:before="0" w:after="0"/>
        <w:ind w:left="0" w:right="0" w:hanging="0"/>
        <w:jc w:val="left"/>
        <w:rPr/>
      </w:pPr>
      <w:r>
        <w:rPr/>
        <w:t>​</w:t>
      </w:r>
    </w:p>
    <w:tbl>
      <w:tblPr>
        <w:tblW w:w="5465" w:type="dxa"/>
        <w:jc w:val="left"/>
        <w:tblInd w:w="0" w:type="dxa"/>
        <w:tblLayout w:type="fixed"/>
        <w:tblCellMar>
          <w:top w:w="0" w:type="dxa"/>
          <w:left w:w="0" w:type="dxa"/>
          <w:bottom w:w="0" w:type="dxa"/>
          <w:right w:w="0" w:type="dxa"/>
        </w:tblCellMar>
      </w:tblPr>
      <w:tblGrid>
        <w:gridCol w:w="1876"/>
        <w:gridCol w:w="235"/>
        <w:gridCol w:w="755"/>
        <w:gridCol w:w="346"/>
        <w:gridCol w:w="211"/>
        <w:gridCol w:w="676"/>
        <w:gridCol w:w="346"/>
        <w:gridCol w:w="217"/>
        <w:gridCol w:w="803"/>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191260" cy="175260"/>
                      <wp:effectExtent l="0" t="0" r="0" b="0"/>
                      <wp:wrapNone/>
                      <wp:docPr id="353" name="Frame352"/>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9225" cy="175260"/>
                      <wp:effectExtent l="0" t="0" r="0" b="0"/>
                      <wp:wrapNone/>
                      <wp:docPr id="354" name="Frame35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79425" cy="175260"/>
                      <wp:effectExtent l="0" t="0" r="0" b="0"/>
                      <wp:wrapNone/>
                      <wp:docPr id="355" name="Frame354"/>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29260" cy="175260"/>
                      <wp:effectExtent l="0" t="0" r="0" b="0"/>
                      <wp:wrapNone/>
                      <wp:docPr id="358" name="Frame3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7795" cy="175260"/>
                      <wp:effectExtent l="0" t="0" r="0" b="0"/>
                      <wp:wrapNone/>
                      <wp:docPr id="360" name="Frame35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09905" cy="175260"/>
                      <wp:effectExtent l="0" t="0" r="0" b="0"/>
                      <wp:wrapNone/>
                      <wp:docPr id="361" name="Frame360"/>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Retail</w:t>
            </w:r>
          </w:p>
        </w:tc>
        <w:tc>
          <w:tcPr>
            <w:tcW w:w="235"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center"/>
              <w:rPr/>
            </w:pPr>
            <w:r>
              <w:rPr/>
              <w:t>​</w:t>
            </w:r>
          </w:p>
        </w:tc>
        <w:tc>
          <w:tcPr>
            <w:tcW w:w="803" w:type="dxa"/>
            <w:tcBorders/>
            <w:vAlign w:val="center"/>
          </w:tcPr>
          <w:p>
            <w:pPr>
              <w:pStyle w:val="TableContents"/>
              <w:bidi w:val="0"/>
              <w:spacing w:before="0" w:after="0"/>
              <w:ind w:left="0" w:right="0" w:hanging="0"/>
              <w:jc w:val="center"/>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February 1,</w:t>
            </w:r>
          </w:p>
        </w:tc>
        <w:tc>
          <w:tcPr>
            <w:tcW w:w="346" w:type="dxa"/>
            <w:tcBorders/>
            <w:vAlign w:val="center"/>
          </w:tcPr>
          <w:p>
            <w:pPr>
              <w:pStyle w:val="TableContents"/>
              <w:bidi w:val="0"/>
              <w:spacing w:before="0" w:after="0"/>
              <w:ind w:left="0" w:right="0" w:hanging="0"/>
              <w:jc w:val="left"/>
              <w:rPr/>
            </w:pPr>
            <w:r>
              <w:rPr/>
              <w:t>  ​ ​ ​</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3,</w:t>
            </w:r>
          </w:p>
        </w:tc>
      </w:tr>
      <w:tr>
        <w:trPr/>
        <w:tc>
          <w:tcPr>
            <w:tcW w:w="1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76,667</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85,227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and 2024, the Company recorded $46.0 million and $56.3 million, respectively, in revenue that was previously included in the retail operations contract liability balances of $76.7 million and $85.2 million, at February 1, 2025 and February 3,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Construction contracts give rise to accounts receivable, contract assets and contract liabilities. We record accounts receivable based on amounts expected to be collected from customers. We also record costs and estimated earnings in excess of billings on uncompleted contracts (contract assets) and billings in excess of costs and estimated earnings on uncompleted contracts (contract liabilities) in other current assets and trade accounts payable and accrued expenses in the consolidated balance sheets, respectively. The amounts included in the consolidated balance sheets are as follows:</w:t>
      </w:r>
    </w:p>
    <w:p>
      <w:pPr>
        <w:pStyle w:val="TextBody"/>
        <w:bidi w:val="0"/>
        <w:spacing w:before="0" w:after="0"/>
        <w:ind w:left="0" w:right="0" w:hanging="0"/>
        <w:jc w:val="left"/>
        <w:rPr/>
      </w:pPr>
      <w:r>
        <w:rPr/>
        <w:t>​</w:t>
      </w:r>
    </w:p>
    <w:tbl>
      <w:tblPr>
        <w:tblW w:w="9963" w:type="dxa"/>
        <w:jc w:val="left"/>
        <w:tblInd w:w="0" w:type="dxa"/>
        <w:tblLayout w:type="fixed"/>
        <w:tblCellMar>
          <w:top w:w="0" w:type="dxa"/>
          <w:left w:w="0" w:type="dxa"/>
          <w:bottom w:w="0" w:type="dxa"/>
          <w:right w:w="0" w:type="dxa"/>
        </w:tblCellMar>
      </w:tblPr>
      <w:tblGrid>
        <w:gridCol w:w="6286"/>
        <w:gridCol w:w="235"/>
        <w:gridCol w:w="755"/>
        <w:gridCol w:w="346"/>
        <w:gridCol w:w="232"/>
        <w:gridCol w:w="743"/>
        <w:gridCol w:w="346"/>
        <w:gridCol w:w="231"/>
        <w:gridCol w:w="789"/>
      </w:tblGrid>
      <w:tr>
        <w:trPr/>
        <w:tc>
          <w:tcPr>
            <w:tcW w:w="6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991610" cy="175260"/>
                      <wp:effectExtent l="0" t="0" r="0" b="0"/>
                      <wp:wrapNone/>
                      <wp:docPr id="362" name="Frame361"/>
                      <a:graphic xmlns:a="http://schemas.openxmlformats.org/drawingml/2006/main">
                        <a:graphicData uri="http://schemas.microsoft.com/office/word/2010/wordprocessingShape">
                          <wps:wsp>
                            <wps:cNvSpPr txBox="1"/>
                            <wps:spPr>
                              <a:xfrm>
                                <a:off x="0" y="0"/>
                                <a:ext cx="399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9225" cy="175260"/>
                      <wp:effectExtent l="0" t="0" r="0" b="0"/>
                      <wp:wrapNone/>
                      <wp:docPr id="363" name="Frame36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79425" cy="175260"/>
                      <wp:effectExtent l="0" t="0" r="0" b="0"/>
                      <wp:wrapNone/>
                      <wp:docPr id="364" name="Frame363"/>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7320" cy="175260"/>
                      <wp:effectExtent l="0" t="0" r="0" b="0"/>
                      <wp:wrapNone/>
                      <wp:docPr id="366" name="Frame36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71805" cy="175260"/>
                      <wp:effectExtent l="0" t="0" r="0" b="0"/>
                      <wp:wrapNone/>
                      <wp:docPr id="367" name="Frame366"/>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46685" cy="175260"/>
                      <wp:effectExtent l="0" t="0" r="0" b="0"/>
                      <wp:wrapNone/>
                      <wp:docPr id="369" name="Frame36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01015" cy="175260"/>
                      <wp:effectExtent l="0" t="0" r="0" b="0"/>
                      <wp:wrapNone/>
                      <wp:docPr id="370" name="Frame36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Construction</w:t>
            </w:r>
          </w:p>
        </w:tc>
        <w:tc>
          <w:tcPr>
            <w:tcW w:w="235"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32" w:type="dxa"/>
            <w:tcBorders/>
            <w:vAlign w:val="center"/>
          </w:tcPr>
          <w:p>
            <w:pPr>
              <w:pStyle w:val="TableContents"/>
              <w:bidi w:val="0"/>
              <w:spacing w:before="0" w:after="0"/>
              <w:ind w:left="0" w:right="0" w:hanging="0"/>
              <w:jc w:val="center"/>
              <w:rPr/>
            </w:pPr>
            <w:r>
              <w:rPr/>
              <w:t>​</w:t>
            </w:r>
          </w:p>
        </w:tc>
        <w:tc>
          <w:tcPr>
            <w:tcW w:w="74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3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r>
      <w:tr>
        <w:trPr/>
        <w:tc>
          <w:tcPr>
            <w:tcW w:w="628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w:t>
            </w:r>
          </w:p>
        </w:tc>
        <w:tc>
          <w:tcPr>
            <w:tcW w:w="346" w:type="dxa"/>
            <w:tcBorders/>
            <w:vAlign w:val="center"/>
          </w:tcPr>
          <w:p>
            <w:pPr>
              <w:pStyle w:val="TableContents"/>
              <w:bidi w:val="0"/>
              <w:spacing w:before="0" w:after="0"/>
              <w:ind w:left="0" w:right="0" w:hanging="0"/>
              <w:jc w:val="left"/>
              <w:rPr/>
            </w:pPr>
            <w:r>
              <w:rPr/>
              <w:t>  ​ ​ ​</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3,</w:t>
            </w:r>
          </w:p>
        </w:tc>
      </w:tr>
      <w:tr>
        <w:trPr/>
        <w:tc>
          <w:tcPr>
            <w:tcW w:w="62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30,598</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46,646</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47,240</w:t>
            </w:r>
          </w:p>
        </w:tc>
      </w:tr>
      <w:tr>
        <w:trPr/>
        <w:tc>
          <w:tcPr>
            <w:tcW w:w="6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estimated earnings in excess of billings on uncompleted contracts</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3,913</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w:t>
            </w:r>
          </w:p>
        </w:tc>
      </w:tr>
      <w:tr>
        <w:trPr/>
        <w:tc>
          <w:tcPr>
            <w:tcW w:w="6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Billings in excess of costs and estimated earnings on uncompleted contracts</w:t>
            </w:r>
          </w:p>
        </w:tc>
        <w:tc>
          <w:tcPr>
            <w:tcW w:w="23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4,493</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6,983</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6,307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and 2024, the Company recorded $6.8 million and $6.0 million, respectively, in revenue that was previously included in billings in excess of costs and estimated earnings on uncompleted contracts of $7.0 million and $6.3 million at February 1, 2025 and February 3,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remaining performance obligations related to executed construction contracts totaled $140.8 million and $202.8 million at January 31, 2026 and February 1, 2025,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Revolving Credit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maintains a revolving credit facility (“credit agreement”) for general corporate purposes including, among other uses, working capital financing, the issuance of letters of credit, capital expenditures and, subject to certain restrictions, the repayment of existing indebtedness and share repurchases. The credit agreement, which is</w:t>
      </w:r>
      <w:r>
        <w:rPr>
          <w:rFonts w:ascii="Times New Roman;Times;serif" w:hAnsi="Times New Roman;Times;serif"/>
          <w:sz w:val="20"/>
          <w:shd w:fill="FFFFFF" w:val="clear"/>
        </w:rPr>
        <w:t xml:space="preserve"> secured by certain deposit accounts of the Company and certain inventory of certain subsidiaries,</w:t>
      </w:r>
      <w:r>
        <w:rPr>
          <w:rFonts w:ascii="Times New Roman;Times;serif" w:hAnsi="Times New Roman;Times;serif"/>
          <w:sz w:val="20"/>
        </w:rPr>
        <w:t xml:space="preserve"> provides a borrowing capacity of $800 million, subject to certain limitations as outlined in the credit agreement, with a $200 million expansion option. The Company pays a variable rate of interest on borrowings under the credit agreement and a commitment fee to the participating banks. There are no financial covenant requirements under the credit agreement provided availability exceeds $80 million and no specified event of default has occurred or is continuing.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June 2023, the Company amended the credit agreement (the "2023 amendment") to reflect the changes necessary for the phaseout of LIBOR. Pursuant to the 2023 amendment, borrowings under the credit agreement bore interest, at our option, at a rate per annum equal to (1) the then alternative base rate plus the applicable rate or (2) </w:t>
      </w:r>
      <w:r>
        <w:rPr>
          <w:rFonts w:ascii="Times New Roman;Times;serif" w:hAnsi="Times New Roman;Times;serif"/>
          <w:b w:val="false"/>
          <w:i w:val="false"/>
          <w:caps w:val="false"/>
          <w:smallCaps w:val="false"/>
          <w:sz w:val="20"/>
        </w:rPr>
        <w:t>adjusted term</w:t>
      </w:r>
      <w:r>
        <w:rPr>
          <w:rFonts w:ascii="Times New Roman;Times;serif" w:hAnsi="Times New Roman;Times;serif"/>
          <w:sz w:val="20"/>
        </w:rPr>
        <w:t xml:space="preserve"> or daily simple SOFR, in each case plus 0.10% per annum, plus the applicable rate. The applicable rate was defined as (A) (x) 1.50% per annum in the case of term benchmark and RFR loans and (y) 0.50% per annum in the case of base rate loans when average quarterly availability is greater than or equal to 50% of the total commitments and (B) (x) 1.75% per annum in the case of term benchmark and RFR loans and (y) 0.75% per annum in the case of base rate loans when average quarterly availability is less than 50% of the total commitments. The commitment fee for unused borrowings was 0.30% per annum if average borrowings were less than 35% of the total commitments and 0.25% per annum if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average borrowings were greater than or equal to 35% of the total commitments. The credit agreement, as amended by the 2023 amendment, was scheduled to mature on April 28,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March 2025, the Company amended and extended its revolving credit facility (the "2025 amendment") replacing the Company's previous amended credit agreement. The 2025 amendment continues to have the 0.10% per annum credit spread adjustment to the interest rate for term benchmark and RFR loans but reduced the applicable rate to (A) (x) 1.25% per annum in the case of term benchmark and RFR loans and (y) 0.25% per annum in the case of base rate loans when average quarterly availability is greater than or equal to 50% of the total commitments and (B) (x) 1.50% per annum in the case of term benchmark and RFR loans and (y) 0.50% per annum in the case of base rate loans when average quarterly availability is less than 50% of the total commitments. The 2025 amendment also reduced the unused commitment fee to (A) 0.25% per annum when the average amount utilized is less than 50% of the total commitment and (B) 0.20% per annum when the average amount utilized is greater than or equal to 50% of the total commitment. The facility was arranged by JPMorgan Chase Bank, N.A. The credit agreement, as amended by the 2025 amendment, matures March 12, 2030.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borrowings under the credit agreement were outstanding at January 31, 2026. Letters of credit totaling $25.3 million were issued under the credit agreement leaving unutilized availability under the facility of $774.7 million at January 31, 2026. The Company had no borrowings during fiscal 2025, 2024 and 2023.</w:t>
      </w:r>
    </w:p>
    <w:p>
      <w:pPr>
        <w:pStyle w:val="TextBody"/>
        <w:bidi w:val="0"/>
        <w:spacing w:before="0" w:after="240"/>
        <w:ind w:left="0" w:right="0" w:hanging="0"/>
        <w:jc w:val="left"/>
        <w:rPr>
          <w:rFonts w:ascii="Times New Roman;Times;serif" w:hAnsi="Times New Roman;Times;serif"/>
          <w:b/>
          <w:sz w:val="20"/>
        </w:rPr>
      </w:pPr>
      <w:bookmarkStart w:id="985" w:name="Tc_V3be4QU8lEmiKDkw5vNBsw_7_8"/>
      <w:bookmarkStart w:id="986" w:name="Tc_-nKavU_YG02nuZ0i5xqLXw_7_5"/>
      <w:bookmarkStart w:id="987" w:name="Tc_DpHZMjtuIUeYqD3lpUxoMw_7_2"/>
      <w:bookmarkStart w:id="988" w:name="Tc_Y68nv39vVE-tbsgu3WRZJQ_6_0"/>
      <w:bookmarkStart w:id="989" w:name="Tc_39mdYT17Z0qN1pnSmuQpVg_5_0"/>
      <w:bookmarkStart w:id="990" w:name="Tc_Ej1Zvx9Fn0CdqyPf5imyTw_4_0"/>
      <w:bookmarkStart w:id="991" w:name="Tc_2_PVlugdA0u74LXmv_vmKg_3_0"/>
      <w:bookmarkStart w:id="992" w:name="Tc_dsUjQZmGf0GJOpjmowVWxg_2_8"/>
      <w:bookmarkStart w:id="993" w:name="Tc_RRxzxoHBTUqUi2dAw4fE8w_2_5"/>
      <w:bookmarkStart w:id="994" w:name="Tc_dXwzth-QtEOQSqjqqaJ20g_2_2"/>
      <w:bookmarkStart w:id="995" w:name="Tc_eUhZQIEVeESajXXDJLZikw_2_0"/>
      <w:bookmarkStart w:id="996" w:name="Tc_N_-f9JBKJEWyZ5dGDa3-mg_1_8"/>
      <w:bookmarkStart w:id="997" w:name="Tc_5ytlXjfhukOW_jtghgjMUw_1_5"/>
      <w:bookmarkStart w:id="998" w:name="Tc_njd9mK7nUkePMuIvGhI6Og_1_2"/>
      <w:bookmarkStart w:id="999" w:name="Tc_05RM9SdhVEmFSRQtRQW7WQ_1_0"/>
      <w:bookmarkStart w:id="1000" w:name="Tc_K9s2I6B16kKYqkGlQxZp2w_7_3"/>
      <w:bookmarkStart w:id="1001" w:name="Tc_IwVY33KzG02UrtRFB4qsuQ_7_0"/>
      <w:bookmarkStart w:id="1002" w:name="Tc_P6nqwJg_f0O60xAlE9sn9w_6_3"/>
      <w:bookmarkStart w:id="1003" w:name="Tc_2e-hTfgWD06mfeVHQkS5zg_6_0"/>
      <w:bookmarkStart w:id="1004" w:name="Tc_IuITzVJc80-in60iPI6QmA_5_0"/>
      <w:bookmarkStart w:id="1005" w:name="Tc_DmO3ZBN-3U6cx5nttahu7A_4_0"/>
      <w:bookmarkStart w:id="1006" w:name="Tc_ysZZb9NlkEK0WeeoSVhdoA_3_2"/>
      <w:bookmarkStart w:id="1007" w:name="Tc_avr7DMD0mECE6j0XF7bzMA_3_0"/>
      <w:bookmarkStart w:id="1008" w:name="Tc_c-_aCOYNfky3sKh23-FeOQ_2_2"/>
      <w:bookmarkStart w:id="1009" w:name="Tc_pGrGQ2prZUu_kP4vIIPMmg_2_0"/>
      <w:bookmarkStart w:id="1010" w:name="Tc_W38FEI5YVEmImSDnSeOAQg_1_2"/>
      <w:bookmarkStart w:id="1011" w:name="_b627f4d0_c451_4ac6_b52d_a05edfc72ca7"/>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Fonts w:ascii="Times New Roman;Times;serif" w:hAnsi="Times New Roman;Times;serif"/>
          <w:b/>
          <w:sz w:val="20"/>
        </w:rPr>
        <w:t>4.  Long-Term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Long-term debt, including any current portion, of $321.7 million and $321.6 million was outstanding at January 31, 2026 and February 1, 2025, respectively. The debt outstanding at January 31, 2026 consisted of unsecured notes, bearing interest rates ranging from 7.000% to 7.750% and maturing during fiscal 2026 through fiscal 2028. There are no financial covenants under any of the debt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Long-term debt maturities over the next five years are (in millions):</w:t>
      </w:r>
    </w:p>
    <w:tbl>
      <w:tblPr>
        <w:tblW w:w="2657" w:type="dxa"/>
        <w:jc w:val="left"/>
        <w:tblInd w:w="0" w:type="dxa"/>
        <w:tblLayout w:type="fixed"/>
        <w:tblCellMar>
          <w:top w:w="0" w:type="dxa"/>
          <w:left w:w="0" w:type="dxa"/>
          <w:bottom w:w="0" w:type="dxa"/>
          <w:right w:w="0" w:type="dxa"/>
        </w:tblCellMar>
      </w:tblPr>
      <w:tblGrid>
        <w:gridCol w:w="946"/>
        <w:gridCol w:w="346"/>
        <w:gridCol w:w="348"/>
        <w:gridCol w:w="1017"/>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00710" cy="175260"/>
                      <wp:effectExtent l="0" t="0" r="0" b="0"/>
                      <wp:wrapNone/>
                      <wp:docPr id="371" name="Frame37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20980" cy="175260"/>
                      <wp:effectExtent l="0" t="0" r="0" b="0"/>
                      <wp:wrapNone/>
                      <wp:docPr id="373" name="Frame372"/>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5795" cy="175260"/>
                      <wp:effectExtent l="0" t="0" r="0" b="0"/>
                      <wp:wrapNone/>
                      <wp:docPr id="374" name="Frame373"/>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Long-Term Debt</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Fiscal Year</w:t>
            </w:r>
          </w:p>
        </w:tc>
        <w:tc>
          <w:tcPr>
            <w:tcW w:w="346" w:type="dxa"/>
            <w:tcBorders/>
            <w:vAlign w:val="center"/>
          </w:tcPr>
          <w:p>
            <w:pPr>
              <w:pStyle w:val="TableContents"/>
              <w:bidi w:val="0"/>
              <w:spacing w:before="0" w:after="1"/>
              <w:ind w:left="0" w:right="0" w:hanging="0"/>
              <w:jc w:val="center"/>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Maturities</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center"/>
              <w:rPr/>
            </w:pPr>
            <w:r>
              <w:rPr/>
              <w:t>​</w:t>
            </w:r>
          </w:p>
        </w:tc>
        <w:tc>
          <w:tcPr>
            <w:tcW w:w="34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center"/>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348"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348"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 </w:t>
            </w:r>
          </w:p>
        </w:tc>
        <w:tc>
          <w:tcPr>
            <w:tcW w:w="348"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Net interest and debt (income) expense consists of the following:</w:t>
      </w:r>
    </w:p>
    <w:p>
      <w:pPr>
        <w:pStyle w:val="TextBody"/>
        <w:bidi w:val="0"/>
        <w:spacing w:before="0" w:after="0"/>
        <w:ind w:left="0" w:right="0" w:hanging="0"/>
        <w:jc w:val="left"/>
        <w:rPr/>
      </w:pPr>
      <w:r>
        <w:rPr/>
        <w:t>​</w:t>
      </w:r>
    </w:p>
    <w:tbl>
      <w:tblPr>
        <w:tblW w:w="8710" w:type="dxa"/>
        <w:jc w:val="left"/>
        <w:tblInd w:w="0" w:type="dxa"/>
        <w:tblLayout w:type="fixed"/>
        <w:tblCellMar>
          <w:top w:w="0" w:type="dxa"/>
          <w:left w:w="0" w:type="dxa"/>
          <w:bottom w:w="0" w:type="dxa"/>
          <w:right w:w="0" w:type="dxa"/>
        </w:tblCellMar>
      </w:tblPr>
      <w:tblGrid>
        <w:gridCol w:w="4606"/>
        <w:gridCol w:w="346"/>
        <w:gridCol w:w="211"/>
        <w:gridCol w:w="796"/>
        <w:gridCol w:w="346"/>
        <w:gridCol w:w="211"/>
        <w:gridCol w:w="796"/>
        <w:gridCol w:w="346"/>
        <w:gridCol w:w="211"/>
        <w:gridCol w:w="841"/>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924810" cy="175260"/>
                      <wp:effectExtent l="0" t="0" r="0" b="0"/>
                      <wp:wrapNone/>
                      <wp:docPr id="375" name="Frame374"/>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05460" cy="175260"/>
                      <wp:effectExtent l="0" t="0" r="0" b="0"/>
                      <wp:wrapNone/>
                      <wp:docPr id="378" name="Frame3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05460" cy="175260"/>
                      <wp:effectExtent l="0" t="0" r="0" b="0"/>
                      <wp:wrapNone/>
                      <wp:docPr id="381" name="Frame3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34035" cy="175260"/>
                      <wp:effectExtent l="0" t="0" r="0" b="0"/>
                      <wp:wrapNone/>
                      <wp:docPr id="384" name="Frame3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long-term debt and subordinated debentures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37,308</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(47,212)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(53,569)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(45,240)</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paid during fiscal 2025, 2024 and 2023 was approximately $40.9 million, $37.5 million and $45.0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12" w:name="Tc_-F6xTtkIJk2TNsiXCtu5KA_5_5"/>
      <w:bookmarkStart w:id="1013" w:name="Tc_H4q1JJ9UuEyyE_L2HX7O8g_5_2"/>
      <w:bookmarkStart w:id="1014" w:name="Tc_VqTDqh40iEmZI0lS62OJWw_4_0"/>
      <w:bookmarkStart w:id="1015" w:name="Tc_x104W4Lwt0iu3edv6CXBig_3_0"/>
      <w:bookmarkStart w:id="1016" w:name="Tc_ceLeH8ZVWEuefkUNYjM7hw_2_5"/>
      <w:bookmarkStart w:id="1017" w:name="Tc_dR1-I06GBU2fk3HdkzSARQ_2_2"/>
      <w:bookmarkStart w:id="1018" w:name="Tc_eW7XqVwo0kufNwc9bGAYnQ_2_0"/>
      <w:bookmarkStart w:id="1019" w:name="Tc_xFrHtBZEYEuGQ9mls_OIVA_1_5"/>
      <w:bookmarkStart w:id="1020" w:name="Tc_Uv_VhJjSB02416MF4mdJRg_1_2"/>
      <w:bookmarkStart w:id="1021" w:name="Tc_srPyg8a1oEiMq-Yxn_MgsA_1_0"/>
      <w:bookmarkStart w:id="1022" w:name="Tc_AAZ-oXlvqU6NIv8VqviW7w_10_5"/>
      <w:bookmarkStart w:id="1023" w:name="Tc_M_q4c7Ub90CNSeED0pt_9Q_10_2"/>
      <w:bookmarkStart w:id="1024" w:name="Tc_MPnySdqcnUy6wZOUAsp0eg_9_0"/>
      <w:bookmarkStart w:id="1025" w:name="Tc_dhYqAaAW3EeSikLeDYdOJQ_8_0"/>
      <w:bookmarkStart w:id="1026" w:name="Tc_eRD4269gr0md1X4CqbjQ7g_7_0"/>
      <w:bookmarkStart w:id="1027" w:name="Tc_tkSamkUY2EGOxYDf_gxTFQ_6_0"/>
      <w:bookmarkStart w:id="1028" w:name="Tc_phb-NcLcvEK6gt2NWag_oA_5_0"/>
      <w:bookmarkStart w:id="1029" w:name="Tc_NPuNLR2DJUmw0JKK9H2ykA_4_0"/>
      <w:bookmarkStart w:id="1030" w:name="Tc_Kj8iSLvDbkal2AvAlP3RaQ_3_0"/>
      <w:bookmarkStart w:id="1031" w:name="Tc_EiEYdExc6EOGGqyzFMoEYA_2_5"/>
      <w:bookmarkStart w:id="1032" w:name="Tc_TkREatigvkWR4zomQrSTxg_2_2"/>
      <w:bookmarkStart w:id="1033" w:name="Tc_tGw32AsUX0i_XVOlQCiRow_2_0"/>
      <w:bookmarkStart w:id="1034" w:name="Tc_5bSAm9mCmk2N-X-KSbFJHw_1_5"/>
      <w:bookmarkStart w:id="1035" w:name="Tc_hUQhAHadQEa81bZWX0uMDg_1_2"/>
      <w:bookmarkStart w:id="1036" w:name="Tc_feBi7CC41kC7beaVrS6hlw_1_0"/>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ascii="Times New Roman;Times;serif" w:hAnsi="Times New Roman;Times;serif"/>
          <w:b/>
          <w:sz w:val="20"/>
        </w:rPr>
        <w:t>5.  Trade Accounts Payable and Accrued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Trade accounts payable and accrued expenses consist of the following:</w:t>
      </w:r>
    </w:p>
    <w:p>
      <w:pPr>
        <w:pStyle w:val="TextBody"/>
        <w:bidi w:val="0"/>
        <w:spacing w:before="0" w:after="0"/>
        <w:ind w:left="0" w:right="0" w:hanging="0"/>
        <w:jc w:val="left"/>
        <w:rPr/>
      </w:pPr>
      <w:r>
        <w:rPr/>
        <w:t>​</w:t>
      </w:r>
    </w:p>
    <w:tbl>
      <w:tblPr>
        <w:tblW w:w="6723" w:type="dxa"/>
        <w:jc w:val="left"/>
        <w:tblInd w:w="0" w:type="dxa"/>
        <w:tblLayout w:type="fixed"/>
        <w:tblCellMar>
          <w:top w:w="0" w:type="dxa"/>
          <w:left w:w="0" w:type="dxa"/>
          <w:bottom w:w="0" w:type="dxa"/>
          <w:right w:w="0" w:type="dxa"/>
        </w:tblCellMar>
      </w:tblPr>
      <w:tblGrid>
        <w:gridCol w:w="3211"/>
        <w:gridCol w:w="346"/>
        <w:gridCol w:w="296"/>
        <w:gridCol w:w="1099"/>
        <w:gridCol w:w="346"/>
        <w:gridCol w:w="274"/>
        <w:gridCol w:w="115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38985" cy="175260"/>
                      <wp:effectExtent l="0" t="0" r="0" b="0"/>
                      <wp:wrapNone/>
                      <wp:docPr id="385" name="Frame384"/>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87960" cy="175260"/>
                      <wp:effectExtent l="0" t="0" r="0" b="0"/>
                      <wp:wrapNone/>
                      <wp:docPr id="387" name="Frame386"/>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7865" cy="175260"/>
                      <wp:effectExtent l="0" t="0" r="0" b="0"/>
                      <wp:wrapNone/>
                      <wp:docPr id="388" name="Frame387"/>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73990" cy="175260"/>
                      <wp:effectExtent l="0" t="0" r="0" b="0"/>
                      <wp:wrapNone/>
                      <wp:docPr id="390" name="Frame38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730885" cy="175260"/>
                      <wp:effectExtent l="0" t="0" r="0" b="0"/>
                      <wp:wrapNone/>
                      <wp:docPr id="391" name="Frame390"/>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1"/>
              <w:ind w:left="0" w:right="0" w:hanging="0"/>
              <w:jc w:val="center"/>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346" w:type="dxa"/>
            <w:tcBorders/>
            <w:vAlign w:val="center"/>
          </w:tcPr>
          <w:p>
            <w:pPr>
              <w:pStyle w:val="TableContents"/>
              <w:bidi w:val="0"/>
              <w:spacing w:before="0" w:after="1"/>
              <w:ind w:left="0" w:right="0" w:hanging="0"/>
              <w:jc w:val="center"/>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February 1, 2025</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570,556</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601,175</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Taxes, other than income</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50,128</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48,161</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wages and employee benefits</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80,665</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78,542</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Liability to customers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50,084</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47,184</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10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7,174</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7,281</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12,470</w:t>
            </w:r>
          </w:p>
        </w:tc>
        <w:tc>
          <w:tcPr>
            <w:tcW w:w="34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11,247</w:t>
            </w:r>
          </w:p>
        </w:tc>
      </w:tr>
      <w:tr>
        <w:trPr/>
        <w:tc>
          <w:tcPr>
            <w:tcW w:w="3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772,398</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795,023</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Supplier Finance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a supplier finance program, whereby participating suppliers have the option of payment in advance of an invoice due date, which is paid by certain administering banks, on the basis of invoices that the Company has confirmed as valid and approved. The Company agrees to pay the administering bank the stated amount of confirmed invoices from its designated suppliers on the Company’s standard payment terms or on the original due dates of the invoices, as applicable. The Company’s suppliers are not required to participate in the supplier finance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early payment transactions between the Company’s supplier and the administering bank are subject to an agreement between those parties, and the Company does not participate in any financial aspect of the agreement between the Company’s supplier and the administering bank. The Company has not pledged assets or any other security for the committed payment to the administering bank. The Company or the administering bank may terminate the agreement upon at least 30 days’ notice.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reconciliation of the amount of obligations confirmed under the program that remain unpaid by the Company is presented below:</w:t>
      </w:r>
    </w:p>
    <w:p>
      <w:pPr>
        <w:pStyle w:val="TextBody"/>
        <w:bidi w:val="0"/>
        <w:spacing w:before="0" w:after="0"/>
        <w:ind w:left="0" w:right="0" w:hanging="0"/>
        <w:jc w:val="left"/>
        <w:rPr/>
      </w:pPr>
      <w:r>
        <w:rPr/>
        <w:t>​</w:t>
      </w:r>
    </w:p>
    <w:tbl>
      <w:tblPr>
        <w:tblW w:w="7003" w:type="dxa"/>
        <w:jc w:val="left"/>
        <w:tblInd w:w="0" w:type="dxa"/>
        <w:tblLayout w:type="fixed"/>
        <w:tblCellMar>
          <w:top w:w="0" w:type="dxa"/>
          <w:left w:w="0" w:type="dxa"/>
          <w:bottom w:w="0" w:type="dxa"/>
          <w:right w:w="0" w:type="dxa"/>
        </w:tblCellMar>
      </w:tblPr>
      <w:tblGrid>
        <w:gridCol w:w="4726"/>
        <w:gridCol w:w="109"/>
        <w:gridCol w:w="211"/>
        <w:gridCol w:w="796"/>
        <w:gridCol w:w="109"/>
        <w:gridCol w:w="211"/>
        <w:gridCol w:w="841"/>
      </w:tblGrid>
      <w:tr>
        <w:trPr/>
        <w:tc>
          <w:tcPr>
            <w:tcW w:w="4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05460" cy="175260"/>
                      <wp:effectExtent l="0" t="0" r="0" b="0"/>
                      <wp:wrapNone/>
                      <wp:docPr id="394" name="Frame3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34035" cy="175260"/>
                      <wp:effectExtent l="0" t="0" r="0" b="0"/>
                      <wp:wrapNone/>
                      <wp:docPr id="397" name="Frame39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2024</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Confirmed obligations outstanding under the program</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Invoices confirmed during the year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20,742</w:t>
            </w:r>
          </w:p>
        </w:tc>
      </w:tr>
      <w:tr>
        <w:trPr/>
        <w:tc>
          <w:tcPr>
            <w:tcW w:w="4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Confirmed invoices paid during the year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(20,957)</w:t>
            </w:r>
          </w:p>
        </w:tc>
      </w:tr>
      <w:tr>
        <w:trPr/>
        <w:tc>
          <w:tcPr>
            <w:tcW w:w="472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obligations outstanding at the end of the year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1,384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7" w:name="Tc_IWpWhFHSRE2qx9I_xVimTg_17_5"/>
      <w:bookmarkStart w:id="1038" w:name="Tc_wjAEDm0eXk6Gm-j8XcSzAA_17_2"/>
      <w:bookmarkStart w:id="1039" w:name="Tc_45rrfL86HkCxdnnyZg29OQ_17_0"/>
      <w:bookmarkStart w:id="1040" w:name="Tc_OXQv1vTSvkevEtGOHAwnOw_16_0"/>
      <w:bookmarkStart w:id="1041" w:name="Tc_E4mjYLIaAUCYfhhiZNx15w_15_0"/>
      <w:bookmarkStart w:id="1042" w:name="Tc_SDEiSKHDpUK7Mb19ZIyw-Q_14_0"/>
      <w:bookmarkStart w:id="1043" w:name="Tc_zjf4A6xJEk6syDXbyAZk8Q_13_0"/>
      <w:bookmarkStart w:id="1044" w:name="Tc_Nq6PwnWsQEKkXpom8m2jBA_12_0"/>
      <w:bookmarkStart w:id="1045" w:name="Tc_cJichoeqEkWvhw_taMlZHQ_11_0"/>
      <w:bookmarkStart w:id="1046" w:name="Tc_3klGJeCx_UGH_s3BAHoMAg_10_0"/>
      <w:bookmarkStart w:id="1047" w:name="Tc_lfABRoJlyUi88cZHVkoNGQ_9_0"/>
      <w:bookmarkStart w:id="1048" w:name="Tc_oymLCx2ZDk-be8BgxKd8xg_8_0"/>
      <w:bookmarkStart w:id="1049" w:name="Tc_9lc6essli0GMCZWdSkKV3A_7_3"/>
      <w:bookmarkStart w:id="1050" w:name="Tc_1EX-P7aMgkOXuljGEShnww_7_0"/>
      <w:bookmarkStart w:id="1051" w:name="Tc_jkMaSgtSEUybMlMv9ozIZw_6_0"/>
      <w:bookmarkStart w:id="1052" w:name="Tc_uokRftzdUk-igOaTp4B0mQ_5_0"/>
      <w:bookmarkStart w:id="1053" w:name="Tc_yV09VY_P3kO-EvzMqnxedw_4_0"/>
      <w:bookmarkStart w:id="1054" w:name="Tc_voSZ74XnDkmQ-GNZJ_FwZw_3_5"/>
      <w:bookmarkStart w:id="1055" w:name="Tc_JhE7fCK_gEKvhjNCGO0Qww_3_2"/>
      <w:bookmarkStart w:id="1056" w:name="Tc_Jpqm4jdfuEShfhyswx7iKA_3_0"/>
      <w:bookmarkStart w:id="1057" w:name="Tc_e-hguzaxy0SshFbIiIvORA_2_5"/>
      <w:bookmarkStart w:id="1058" w:name="Tc_hd0HFw7EMEKuAJH8MGaqhA_2_2"/>
      <w:bookmarkStart w:id="1059" w:name="Tc_j4qVVtCgpEOA2dT-O9ERYw_2_0"/>
      <w:bookmarkStart w:id="1060" w:name="Tc_1sBQyxzU0kOQqHlHaIxT0w_1_5"/>
      <w:bookmarkStart w:id="1061" w:name="Tc_BevD77LVCEaohmglN2DGmA_1_2"/>
      <w:bookmarkStart w:id="1062" w:name="_8b8338d5_4b89_4a5d_bcf9_5f971a311ef9_4"/>
      <w:bookmarkStart w:id="1063" w:name="_8b8338d5_4b89_4a5d_bcf9_5f971a311ef9_3"/>
      <w:bookmarkStart w:id="1064" w:name="_8b8338d5_4b89_4a5d_bcf9_5f971a311ef9_2"/>
      <w:bookmarkStart w:id="1065" w:name="_8b8338d5_4b89_4a5d_bcf9_5f971a311ef9"/>
      <w:bookmarkStart w:id="1066" w:name="Tc_1m17Uw1gtEGNyRh_a_jA3g_9_18"/>
      <w:bookmarkStart w:id="1067" w:name="Tc_3tm7kSsk4kOMAbdOeHRLcA_9_14"/>
      <w:bookmarkStart w:id="1068" w:name="Tc_wA_lUiFkx0WclvMjIsJDcQ_9_12"/>
      <w:bookmarkStart w:id="1069" w:name="Tc_CrTlQh7eC0WZfPAIn6qH9A_9_8"/>
      <w:bookmarkStart w:id="1070" w:name="Tc_Lqtkupa95Uud4XJK1gjoqA_9_6"/>
      <w:bookmarkStart w:id="1071" w:name="Tc_MqGXoOhaakeTSq_vs2NGMg_9_2"/>
      <w:bookmarkStart w:id="1072" w:name="Tc_iq8PpJ9hAUmt17HRIrt8Hg_8_11"/>
      <w:bookmarkStart w:id="1073" w:name="Tc_SALfywzGlEyvC3NSUXZ3Kw_8_0"/>
      <w:bookmarkStart w:id="1074" w:name="Tc_m70MdHuOakmweKWQT_QDwA_7_0"/>
      <w:bookmarkStart w:id="1075" w:name="Tc_EnKdfzzccEeuM7kRnR79nQ_6_0"/>
      <w:bookmarkStart w:id="1076" w:name="Tc_xUJcZqGKEkunQRBiQrelBA_5_0"/>
      <w:bookmarkStart w:id="1077" w:name="Tc_FCv8t1etoEmGNgsAfkkBgQ_4_0"/>
      <w:bookmarkStart w:id="1078" w:name="Tc_xsDY3Njt10uJxfZcpnBEag_3_0"/>
      <w:bookmarkStart w:id="1079" w:name="Tc_btD9HT5-jUu5L_EDBLH6lA_2_18"/>
      <w:bookmarkStart w:id="1080" w:name="Tc_MqoM8spmnUCuvrhAoKicLw_2_14"/>
      <w:bookmarkStart w:id="1081" w:name="Tc_O6NsdSLuMEutAFU6m5kzZw_2_12"/>
      <w:bookmarkStart w:id="1082" w:name="Tc_0Tt9SmCriEmETlmZk5q7gA_2_8"/>
      <w:bookmarkStart w:id="1083" w:name="Tc_tc8N4Q9-a0KCPZmQyclqDg_2_6"/>
      <w:bookmarkStart w:id="1084" w:name="Tc_DYcK4rXVFEaxYw9ZOiErDg_2_2"/>
      <w:bookmarkStart w:id="1085" w:name="Tc_JY5kmbB8vEOfQlxJXq77Lw_2_0"/>
      <w:bookmarkStart w:id="1086" w:name="Tc_IZHw5HLgW0iRw7NoJt0cBA_1_14"/>
      <w:bookmarkStart w:id="1087" w:name="Tc_gT4SFbduC0mdxw-AU-jTlg_1_8"/>
      <w:bookmarkStart w:id="1088" w:name="Tc_msCYwKHhQUmOldhgmfWYXg_1_2"/>
      <w:bookmarkStart w:id="1089" w:name="Tc_ZSkIJc3oOUutJlwqbO0nXQ_1_0"/>
      <w:bookmarkStart w:id="1090" w:name="_10c9ab1a_f754_44b2_afeb_7afa0030260c"/>
      <w:bookmarkStart w:id="1091" w:name="Tc_DZi0q0Msr0y_8UbhPjksRQ_10_8"/>
      <w:bookmarkStart w:id="1092" w:name="Tc_ELd5EAVH4kiIwAUDIgSgVg_10_5"/>
      <w:bookmarkStart w:id="1093" w:name="Tc_Sk9vSWAB0EKyjnMRfu0T7w_10_2"/>
      <w:bookmarkStart w:id="1094" w:name="Tc_8SenEXlVTkSl8VkFlixycQ_10_0"/>
      <w:bookmarkStart w:id="1095" w:name="Tc_HUFbFEOF8k234MS37AHdLA_9_0"/>
      <w:bookmarkStart w:id="1096" w:name="Tc_KNjPHHw5AEeOo5rPNBlnOg_8_0"/>
      <w:bookmarkStart w:id="1097" w:name="Tc_3nlBDkszFUuOabUOzWXg1Q_7_0"/>
      <w:bookmarkStart w:id="1098" w:name="Tc_dHqnoGk0mEyQ8KE7W1w4Qg_6_0"/>
      <w:bookmarkStart w:id="1099" w:name="Tc_OfMvD8yQlUmvgaxOgVS7dQ_5_0"/>
      <w:bookmarkStart w:id="1100" w:name="Tc_MKV9bD0Ttk-Z8FmHuMxAwA_4_0"/>
      <w:bookmarkStart w:id="1101" w:name="Tc_pTCV_ziBw02RK6am3hzZiQ_3_8"/>
      <w:bookmarkStart w:id="1102" w:name="Tc_Eqln9nHSeECvUU0JUTXebw_3_5"/>
      <w:bookmarkStart w:id="1103" w:name="Tc_qAiBHRGBHUGn4UE-oE2uRQ_3_2"/>
      <w:bookmarkStart w:id="1104" w:name="Tc_NWj7pk_3BEGoyAn227WQjw_3_0"/>
      <w:bookmarkStart w:id="1105" w:name="Tc_OfFasOnMWUyvlkTBQJkVUQ_2_0"/>
      <w:bookmarkStart w:id="1106" w:name="Tc_idzevVyIwUG_7Oz0davRvw_1_8"/>
      <w:bookmarkStart w:id="1107" w:name="Tc_8Rra-J0gvUKNFO_d_kfCmA_1_5"/>
      <w:bookmarkStart w:id="1108" w:name="Tc_IF3N4C_IpkSO405maq65qQ_1_2"/>
      <w:bookmarkStart w:id="1109" w:name="Tc_UPqr2q0We0SLuKwhO8DG3w_1_0"/>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r>
        <w:rPr>
          <w:rFonts w:ascii="Times New Roman;Times;serif" w:hAnsi="Times New Roman;Times;serif"/>
          <w:b/>
          <w:sz w:val="20"/>
        </w:rPr>
        <w:t>6.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provision for federal and state income taxes from continuing operations is summarized as follows:</w:t>
      </w:r>
    </w:p>
    <w:p>
      <w:pPr>
        <w:pStyle w:val="TextBody"/>
        <w:bidi w:val="0"/>
        <w:spacing w:before="0" w:after="0"/>
        <w:ind w:left="0" w:right="0" w:hanging="0"/>
        <w:jc w:val="left"/>
        <w:rPr/>
      </w:pPr>
      <w:r>
        <w:rPr/>
        <w:t>​</w:t>
      </w:r>
    </w:p>
    <w:tbl>
      <w:tblPr>
        <w:tblW w:w="7765" w:type="dxa"/>
        <w:jc w:val="left"/>
        <w:tblInd w:w="0" w:type="dxa"/>
        <w:tblLayout w:type="fixed"/>
        <w:tblCellMar>
          <w:top w:w="0" w:type="dxa"/>
          <w:left w:w="0" w:type="dxa"/>
          <w:bottom w:w="0" w:type="dxa"/>
          <w:right w:w="0" w:type="dxa"/>
        </w:tblCellMar>
      </w:tblPr>
      <w:tblGrid>
        <w:gridCol w:w="3646"/>
        <w:gridCol w:w="346"/>
        <w:gridCol w:w="211"/>
        <w:gridCol w:w="781"/>
        <w:gridCol w:w="346"/>
        <w:gridCol w:w="211"/>
        <w:gridCol w:w="781"/>
        <w:gridCol w:w="346"/>
        <w:gridCol w:w="211"/>
        <w:gridCol w:w="88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315210" cy="175260"/>
                      <wp:effectExtent l="0" t="0" r="0" b="0"/>
                      <wp:wrapNone/>
                      <wp:docPr id="398" name="Frame397"/>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95935" cy="175260"/>
                      <wp:effectExtent l="0" t="0" r="0" b="0"/>
                      <wp:wrapNone/>
                      <wp:docPr id="401" name="Frame4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95935" cy="175260"/>
                      <wp:effectExtent l="0" t="0" r="0" b="0"/>
                      <wp:wrapNone/>
                      <wp:docPr id="404" name="Frame4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62610" cy="175260"/>
                      <wp:effectExtent l="0" t="0" r="0" b="0"/>
                      <wp:wrapNone/>
                      <wp:docPr id="407" name="Frame40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185,082</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10,412</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income tax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195,494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(12,621)</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177,770</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reconciliation between the Company’s income tax provision and income tax using the U.S. federal statutory income tax rate of 21% is presented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45"/>
        <w:gridCol w:w="346"/>
        <w:gridCol w:w="211"/>
        <w:gridCol w:w="791"/>
        <w:gridCol w:w="109"/>
        <w:gridCol w:w="476"/>
        <w:gridCol w:w="271"/>
        <w:gridCol w:w="346"/>
        <w:gridCol w:w="211"/>
        <w:gridCol w:w="791"/>
        <w:gridCol w:w="109"/>
        <w:gridCol w:w="476"/>
        <w:gridCol w:w="271"/>
        <w:gridCol w:w="346"/>
        <w:gridCol w:w="211"/>
        <w:gridCol w:w="791"/>
        <w:gridCol w:w="109"/>
        <w:gridCol w:w="476"/>
        <w:gridCol w:w="319"/>
      </w:tblGrid>
      <w:tr>
        <w:trPr/>
        <w:tc>
          <w:tcPr>
            <w:tcW w:w="3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251075" cy="175260"/>
                      <wp:effectExtent l="0" t="0" r="0" b="0"/>
                      <wp:wrapNone/>
                      <wp:docPr id="408" name="Frame407"/>
                      <a:graphic xmlns:a="http://schemas.openxmlformats.org/drawingml/2006/main">
                        <a:graphicData uri="http://schemas.microsoft.com/office/word/2010/wordprocessingShape">
                          <wps:wsp>
                            <wps:cNvSpPr txBox="1"/>
                            <wps:spPr>
                              <a:xfrm>
                                <a:off x="0" y="0"/>
                                <a:ext cx="2251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02285" cy="175260"/>
                      <wp:effectExtent l="0" t="0" r="0" b="0"/>
                      <wp:wrapNone/>
                      <wp:docPr id="411" name="Frame41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215" cy="175260"/>
                      <wp:effectExtent l="0" t="0" r="0" b="0"/>
                      <wp:wrapNone/>
                      <wp:docPr id="412"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02260" cy="175260"/>
                      <wp:effectExtent l="0" t="0" r="0" b="0"/>
                      <wp:wrapNone/>
                      <wp:docPr id="413" name="Frame412"/>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72085" cy="175260"/>
                      <wp:effectExtent l="0" t="0" r="0" b="0"/>
                      <wp:wrapNone/>
                      <wp:docPr id="414" name="Frame41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02285" cy="175260"/>
                      <wp:effectExtent l="0" t="0" r="0" b="0"/>
                      <wp:wrapNone/>
                      <wp:docPr id="417" name="Frame41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02260" cy="175260"/>
                      <wp:effectExtent l="0" t="0" r="0" b="0"/>
                      <wp:wrapNone/>
                      <wp:docPr id="419" name="Frame418"/>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72085" cy="175260"/>
                      <wp:effectExtent l="0" t="0" r="0" b="0"/>
                      <wp:wrapNone/>
                      <wp:docPr id="420" name="Frame4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21"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02285" cy="175260"/>
                      <wp:effectExtent l="0" t="0" r="0" b="0"/>
                      <wp:wrapNone/>
                      <wp:docPr id="423" name="Frame42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02260" cy="175260"/>
                      <wp:effectExtent l="0" t="0" r="0" b="0"/>
                      <wp:wrapNone/>
                      <wp:docPr id="425" name="Frame424"/>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2565" cy="175260"/>
                      <wp:effectExtent l="0" t="0" r="0" b="0"/>
                      <wp:wrapNone/>
                      <wp:docPr id="426" name="Frame42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  ​ ​ ​</w:t>
            </w:r>
          </w:p>
        </w:tc>
        <w:tc>
          <w:tcPr>
            <w:tcW w:w="18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center"/>
              <w:rPr/>
            </w:pPr>
            <w:r>
              <w:rPr/>
              <w:t>  ​ ​ ​</w:t>
            </w:r>
          </w:p>
        </w:tc>
        <w:tc>
          <w:tcPr>
            <w:tcW w:w="18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0"/>
              <w:ind w:left="0" w:right="0" w:hanging="0"/>
              <w:jc w:val="center"/>
              <w:rPr/>
            </w:pPr>
            <w:r>
              <w:rPr/>
              <w:t>  ​ ​ ​</w:t>
            </w:r>
          </w:p>
        </w:tc>
        <w:tc>
          <w:tcPr>
            <w:tcW w:w="19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at the U.S. federal statutory income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145,926</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153,237</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192,490</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State and local income taxes, net of federal effect </w:t>
            </w:r>
            <w:r>
              <w:rPr>
                <w:rFonts w:ascii="Times New Roman;Times;serif" w:hAnsi="Times New Roman;Times;serif"/>
                <w:sz w:val="15"/>
              </w:rPr>
              <w: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5,437</w:t>
            </w:r>
          </w:p>
        </w:tc>
        <w:tc>
          <w:tcPr>
            <w:tcW w:w="10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6,499</w:t>
            </w:r>
          </w:p>
        </w:tc>
        <w:tc>
          <w:tcPr>
            <w:tcW w:w="10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10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9" w:type="dxa"/>
            <w:tcBorders/>
            <w:vAlign w:val="center"/>
          </w:tcPr>
          <w:p>
            <w:pPr>
              <w:pStyle w:val="TableContents"/>
              <w:bidi w:val="0"/>
              <w:spacing w:before="0" w:after="0"/>
              <w:ind w:left="0" w:right="0" w:hanging="0"/>
              <w:jc w:val="right"/>
              <w:rPr/>
            </w:pPr>
            <w:r>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(2,145)</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9" w:type="dxa"/>
            <w:tcBorders/>
            <w:shd w:fill="CCEEFF" w:val="clear"/>
            <w:vAlign w:val="center"/>
          </w:tcPr>
          <w:p>
            <w:pPr>
              <w:pStyle w:val="TableContents"/>
              <w:bidi w:val="0"/>
              <w:spacing w:before="0" w:after="0"/>
              <w:ind w:left="0" w:right="0" w:hanging="0"/>
              <w:jc w:val="right"/>
              <w:rPr/>
            </w:pPr>
            <w:r>
              <w:rPr/>
              <w:t>​</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right"/>
              <w:rPr/>
            </w:pPr>
            <w:r>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ESOP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(29,854)</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(26,630)</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(21,990)</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9" w:type="dxa"/>
            <w:tcBorders/>
            <w:shd w:fill="CCEEFF" w:val="clear"/>
            <w:vAlign w:val="center"/>
          </w:tcPr>
          <w:p>
            <w:pPr>
              <w:pStyle w:val="TableContents"/>
              <w:bidi w:val="0"/>
              <w:spacing w:before="0" w:after="0"/>
              <w:ind w:left="0" w:right="0" w:hanging="0"/>
              <w:jc w:val="right"/>
              <w:rPr/>
            </w:pPr>
            <w:r>
              <w:rPr/>
              <w:t>​</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w:t>
            </w:r>
          </w:p>
        </w:tc>
        <w:tc>
          <w:tcPr>
            <w:tcW w:w="10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4,963</w:t>
            </w:r>
          </w:p>
        </w:tc>
        <w:tc>
          <w:tcPr>
            <w:tcW w:w="10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c>
          <w:tcPr>
            <w:tcW w:w="10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9" w:type="dxa"/>
            <w:tcBorders/>
            <w:vAlign w:val="center"/>
          </w:tcPr>
          <w:p>
            <w:pPr>
              <w:pStyle w:val="TableContents"/>
              <w:bidi w:val="0"/>
              <w:spacing w:before="0" w:after="0"/>
              <w:ind w:left="0" w:right="0" w:hanging="0"/>
              <w:jc w:val="right"/>
              <w:rPr/>
            </w:pPr>
            <w:r>
              <w:rPr/>
              <w:t>​</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unrecognized tax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109" w:type="dxa"/>
            <w:tcBorders/>
            <w:shd w:fill="CCEEFF" w:val="clear"/>
            <w:vAlign w:val="center"/>
          </w:tcPr>
          <w:p>
            <w:pPr>
              <w:pStyle w:val="TableContents"/>
              <w:bidi w:val="0"/>
              <w:spacing w:before="0" w:after="0"/>
              <w:ind w:left="0" w:right="0" w:hanging="0"/>
              <w:jc w:val="righ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9" w:type="dxa"/>
            <w:tcBorders/>
            <w:shd w:fill="CCEEFF" w:val="clear"/>
            <w:vAlign w:val="center"/>
          </w:tcPr>
          <w:p>
            <w:pPr>
              <w:pStyle w:val="TableContents"/>
              <w:bidi w:val="0"/>
              <w:spacing w:before="0" w:after="0"/>
              <w:ind w:left="0" w:right="0" w:hanging="0"/>
              <w:jc w:val="right"/>
              <w:rPr/>
            </w:pPr>
            <w:r>
              <w:rPr/>
              <w:t>​</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income tax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124,700</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136,225</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177,770</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(a)</w:t>
            </w:r>
          </w:p>
        </w:tc>
        <w:tc>
          <w:tcPr>
            <w:tcW w:w="9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States that contribute to the majority (greater than 50%) of the tax effect in this category include Texas and Tennessee for fiscal 2025, Texas, Tennessee, and Arizona for fiscal 2024, and Tennessee, Texas, Arizona, Florida, and Kansas for fiscal 2023.</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January 31, 2026 and February 1, 2025 are as follows:</w:t>
      </w:r>
    </w:p>
    <w:p>
      <w:pPr>
        <w:pStyle w:val="TextBody"/>
        <w:bidi w:val="0"/>
        <w:spacing w:before="0" w:after="0"/>
        <w:ind w:left="0" w:right="0" w:hanging="0"/>
        <w:jc w:val="left"/>
        <w:rPr/>
      </w:pPr>
      <w:r>
        <w:rPr/>
        <w:t>​</w:t>
      </w:r>
    </w:p>
    <w:tbl>
      <w:tblPr>
        <w:tblW w:w="7852" w:type="dxa"/>
        <w:jc w:val="left"/>
        <w:tblInd w:w="0" w:type="dxa"/>
        <w:tblLayout w:type="fixed"/>
        <w:tblCellMar>
          <w:top w:w="0" w:type="dxa"/>
          <w:left w:w="0" w:type="dxa"/>
          <w:bottom w:w="0" w:type="dxa"/>
          <w:right w:w="0" w:type="dxa"/>
        </w:tblCellMar>
      </w:tblPr>
      <w:tblGrid>
        <w:gridCol w:w="4891"/>
        <w:gridCol w:w="346"/>
        <w:gridCol w:w="211"/>
        <w:gridCol w:w="901"/>
        <w:gridCol w:w="346"/>
        <w:gridCol w:w="211"/>
        <w:gridCol w:w="946"/>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105785" cy="175260"/>
                      <wp:effectExtent l="0" t="0" r="0" b="0"/>
                      <wp:wrapNone/>
                      <wp:docPr id="427" name="Frame426"/>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72135" cy="175260"/>
                      <wp:effectExtent l="0" t="0" r="0" b="0"/>
                      <wp:wrapNone/>
                      <wp:docPr id="430" name="Frame42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00710" cy="175260"/>
                      <wp:effectExtent l="0" t="0" r="0" b="0"/>
                      <wp:wrapNone/>
                      <wp:docPr id="433" name="Frame43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59,192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58,592</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Joint venture basis differences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7,614</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Differences between book and tax basis of inventory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31,215</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7,586</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106,849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105,009</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bases and depreciation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(66,612)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(57,394)</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not currently deductible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(86,878)</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(7,731)</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tax carryforwards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(21,405)</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(186,014)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(174,854)</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(183,898)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(173,735)</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110" w:name="Tc_ONg6OOU7qkaUZj770G3nEQ_4_8"/>
      <w:bookmarkStart w:id="1111" w:name="Tc_XtLteT2bcEi8dNzBDc_7gw_4_5"/>
      <w:bookmarkStart w:id="1112" w:name="Tc_sa8kyhCDD0u0BcinqN-YIA_4_2"/>
      <w:bookmarkStart w:id="1113" w:name="Tc_-O_y_Gwx8EG7qoEEIHPoEw_4_0"/>
      <w:bookmarkStart w:id="1114" w:name="Tc__6LcMo9OrE-M62ANdnvpsA_3_0"/>
      <w:bookmarkStart w:id="1115" w:name="Tc_6moWPJPJK0iAzo44RoWPyQ_2_8"/>
      <w:bookmarkStart w:id="1116" w:name="Tc_ipsHFT7ec0mt19-Tw-AmhQ_2_5"/>
      <w:bookmarkStart w:id="1117" w:name="Tc_FNUR5i7M90mIkKtHbQugpQ_2_2"/>
      <w:bookmarkStart w:id="1118" w:name="Tc_8dippjH1J0yrpJMbcBesmg_2_0"/>
      <w:bookmarkStart w:id="1119" w:name="Tc_qL_XgtAti0WChQk6S6Ygbg_1_8"/>
      <w:bookmarkStart w:id="1120" w:name="Tc_Y2aHxJE4dkiLVqdJOtXb6g_1_5"/>
      <w:bookmarkStart w:id="1121" w:name="Tc_zmdBdbKj40mNDRI31G3_bA_1_2"/>
      <w:bookmarkStart w:id="1122" w:name="Tc_YeM5yugnYkegouDUiIW8Bw_1_0"/>
      <w:bookmarkStart w:id="1123" w:name="Tc_3XxwwrOnh0qABzhCAUbQpw_8_8"/>
      <w:bookmarkStart w:id="1124" w:name="Tc_Eh47sA-83kKLaUo9rPADUg_8_5"/>
      <w:bookmarkStart w:id="1125" w:name="Tc_W6phmE-jyUa_LYJNAyROCQ_8_2"/>
      <w:bookmarkStart w:id="1126" w:name="Tc_gAQ0wfFYQUO7ylfeMh6RuA_8_0"/>
      <w:bookmarkStart w:id="1127" w:name="Tc_s-zxNrAgCkeEX23aGO8MMw_7_0"/>
      <w:bookmarkStart w:id="1128" w:name="Tc_8nEPwCjf-k2RaI5cVd2dSw_6_9"/>
      <w:bookmarkStart w:id="1129" w:name="Tc_fjf_e75IrEeUBZvi9l2QYw_6_6"/>
      <w:bookmarkStart w:id="1130" w:name="Tc_rCIiqaPjVESWieQ7EYLGmA_6_0"/>
      <w:bookmarkStart w:id="1131" w:name="Tc_sQGZ6r01fkWqm20CbelGYg_5_0"/>
      <w:bookmarkStart w:id="1132" w:name="Tc_gqMIbJBlL0u7P0sfGd2YlA_4_0"/>
      <w:bookmarkStart w:id="1133" w:name="Tc_wlqgNT2LoEioGiasN7cdag_3_0"/>
      <w:bookmarkStart w:id="1134" w:name="Tc_N0FK8dNGdUiHCDsQYy6arA_2_8"/>
      <w:bookmarkStart w:id="1135" w:name="Tc_5usB6KOBak-Ta3pCx1a7bQ_2_5"/>
      <w:bookmarkStart w:id="1136" w:name="Tc_NUcjC4HKb0-JNZ3wsL8E-w_2_2"/>
      <w:bookmarkStart w:id="1137" w:name="Tc_dnOeSEoGzkG-q5oZCviK4g_2_0"/>
      <w:bookmarkStart w:id="1138" w:name="Tc_0fWU5s7pNEKqxF_PawheKQ_1_8"/>
      <w:bookmarkStart w:id="1139" w:name="Tc_YKRMW651MU6qKrKZVxNKIQ_1_5"/>
      <w:bookmarkStart w:id="1140" w:name="Tc_tvnyGWy8E0u3n_mwy28sdQ_1_2"/>
      <w:bookmarkStart w:id="1141" w:name="Tc__1OlYZy-X0CykKnCJA6Qmw_1_0"/>
      <w:bookmarkStart w:id="1142" w:name="Tc_1RPyDc3xC02PSF__T2QwTQ_5_5"/>
      <w:bookmarkStart w:id="1143" w:name="Tc_EJJ0jVVHtkeS3im47Wcdvw_5_2"/>
      <w:bookmarkStart w:id="1144" w:name="Tc_fz__SMoJck-Kjhv45lqQsQ_5_0"/>
      <w:bookmarkStart w:id="1145" w:name="Tc_5nv8lRApikCGJ0vWUWMUAw_4_0"/>
      <w:bookmarkStart w:id="1146" w:name="Tc_f_X2Am95tEm5fQ-tIRjxfQ_3_5"/>
      <w:bookmarkStart w:id="1147" w:name="Tc_AuZvtmbMmE-BHCMWB6qJXQ_3_2"/>
      <w:bookmarkStart w:id="1148" w:name="Tc_TiqwtcyvEkSnaZFVgz_2Eg_3_0"/>
      <w:bookmarkStart w:id="1149" w:name="Tc_CBndZd6gWkePtkJQa7CyNQ_2_5"/>
      <w:bookmarkStart w:id="1150" w:name="Tc_tCKzcNdIREe2CAgci7--1w_2_2"/>
      <w:bookmarkStart w:id="1151" w:name="Tc_WUdFumREPE-reejgrXM29A_2_0"/>
      <w:bookmarkStart w:id="1152" w:name="Tc_YcG2-qbiYUuRYGZz4H_P1Q_1_5"/>
      <w:bookmarkStart w:id="1153" w:name="Tc_b-VFLXSEPEu8vMYSWWgYLQ_1_2"/>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r>
        <w:rPr>
          <w:rFonts w:ascii="Times New Roman;Times;serif" w:hAnsi="Times New Roman;Times;serif"/>
          <w:sz w:val="20"/>
        </w:rPr>
        <w:t>Deferred tax assets and liabilities were measured using the federal statutory income tax rate of 21% and the appropriate state statutory income tax rates. State deferred tax assets and liabilities, including net operating loss carryforwards and valuation allowances, are presented net of related federal tax effects.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January 31, 2026, the Company had a deferred tax asset of approximately $22.4 million, primarily related to state net operating loss carryforwards that could be utilized to reduce the tax liabilities of future years. Approximately $8.6 million of these carryforwards have indefinite lives, and approximately $13.8 million will expire between fiscal 2026 and 2045. Deferred tax assets were reduced by a valuation allowance of approximately $2.1 million primarily for the state net operating loss carryforwards of various members of the affiliated group in states for which the Company determined that it is “more likely than not” that the benefit of the net operating losses will not be realized.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tax assets and liabilities are presented as follows in the accompanying consolidated balance sheets:</w:t>
      </w:r>
    </w:p>
    <w:p>
      <w:pPr>
        <w:pStyle w:val="TextBody"/>
        <w:bidi w:val="0"/>
        <w:spacing w:before="0" w:after="0"/>
        <w:ind w:left="0" w:right="0" w:hanging="0"/>
        <w:jc w:val="left"/>
        <w:rPr/>
      </w:pPr>
      <w:r>
        <w:rPr/>
        <w:t>​</w:t>
      </w:r>
    </w:p>
    <w:tbl>
      <w:tblPr>
        <w:tblW w:w="6592" w:type="dxa"/>
        <w:jc w:val="left"/>
        <w:tblInd w:w="0" w:type="dxa"/>
        <w:tblLayout w:type="fixed"/>
        <w:tblCellMar>
          <w:top w:w="0" w:type="dxa"/>
          <w:left w:w="0" w:type="dxa"/>
          <w:bottom w:w="0" w:type="dxa"/>
          <w:right w:w="0" w:type="dxa"/>
        </w:tblCellMar>
      </w:tblPr>
      <w:tblGrid>
        <w:gridCol w:w="3841"/>
        <w:gridCol w:w="346"/>
        <w:gridCol w:w="211"/>
        <w:gridCol w:w="796"/>
        <w:gridCol w:w="346"/>
        <w:gridCol w:w="211"/>
        <w:gridCol w:w="841"/>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439035" cy="175260"/>
                      <wp:effectExtent l="0" t="0" r="0" b="0"/>
                      <wp:wrapNone/>
                      <wp:docPr id="434" name="Frame433"/>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05460" cy="175260"/>
                      <wp:effectExtent l="0" t="0" r="0" b="0"/>
                      <wp:wrapNone/>
                      <wp:docPr id="437" name="Frame4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34035" cy="175260"/>
                      <wp:effectExtent l="0" t="0" r="0" b="0"/>
                      <wp:wrapNone/>
                      <wp:docPr id="440" name="Frame43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February 1,</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tax assets - deferred income taxes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(77,386)</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(69,099)</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tax liabilities - other liabilities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(68,726)</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total amount of unrecognized tax benefits as of January 31, 2026 was $7.5 million, of which $6.2 million would, if recognized, affect the Company’s effective tax rate. The total amount of unrecognized tax benefits as of February 1, 2025 was $8.0 million, of which $5.8 million would, if recognized, affect the Company’s effective tax rate. Where applicable, associated interest expense and penalties are also recorded in income tax expense. The total amounts of interest and penalties were not material.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reconciliation of the beginning and ending amount of unrecognized tax benefits is as follows:</w:t>
      </w:r>
    </w:p>
    <w:p>
      <w:pPr>
        <w:pStyle w:val="TextBody"/>
        <w:bidi w:val="0"/>
        <w:spacing w:before="0" w:after="0"/>
        <w:ind w:left="0" w:right="0" w:hanging="0"/>
        <w:jc w:val="left"/>
        <w:rPr/>
      </w:pPr>
      <w:r>
        <w:rPr/>
        <w:t>​</w:t>
      </w:r>
    </w:p>
    <w:tbl>
      <w:tblPr>
        <w:tblW w:w="7984" w:type="dxa"/>
        <w:jc w:val="left"/>
        <w:tblInd w:w="0" w:type="dxa"/>
        <w:tblLayout w:type="fixed"/>
        <w:tblCellMar>
          <w:top w:w="0" w:type="dxa"/>
          <w:left w:w="0" w:type="dxa"/>
          <w:bottom w:w="0" w:type="dxa"/>
          <w:right w:w="0" w:type="dxa"/>
        </w:tblCellMar>
      </w:tblPr>
      <w:tblGrid>
        <w:gridCol w:w="4111"/>
        <w:gridCol w:w="346"/>
        <w:gridCol w:w="217"/>
        <w:gridCol w:w="713"/>
        <w:gridCol w:w="346"/>
        <w:gridCol w:w="217"/>
        <w:gridCol w:w="713"/>
        <w:gridCol w:w="346"/>
        <w:gridCol w:w="232"/>
        <w:gridCol w:w="743"/>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610485" cy="175260"/>
                      <wp:effectExtent l="0" t="0" r="0" b="0"/>
                      <wp:wrapNone/>
                      <wp:docPr id="441" name="Frame44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7795" cy="175260"/>
                      <wp:effectExtent l="0" t="0" r="0" b="0"/>
                      <wp:wrapNone/>
                      <wp:docPr id="443" name="Frame44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52755" cy="175260"/>
                      <wp:effectExtent l="0" t="0" r="0" b="0"/>
                      <wp:wrapNone/>
                      <wp:docPr id="444" name="Frame443"/>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7795" cy="175260"/>
                      <wp:effectExtent l="0" t="0" r="0" b="0"/>
                      <wp:wrapNone/>
                      <wp:docPr id="446" name="Frame44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52755" cy="175260"/>
                      <wp:effectExtent l="0" t="0" r="0" b="0"/>
                      <wp:wrapNone/>
                      <wp:docPr id="447" name="Frame446"/>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8"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47320" cy="175260"/>
                      <wp:effectExtent l="0" t="0" r="0" b="0"/>
                      <wp:wrapNone/>
                      <wp:docPr id="449" name="Frame44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71805" cy="175260"/>
                      <wp:effectExtent l="0" t="0" r="0" b="0"/>
                      <wp:wrapNone/>
                      <wp:docPr id="450" name="Frame449"/>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0"/>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8,020</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8,110</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7,030</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increases—tax positions in prior period</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decreases—tax positions in prior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increases—current period tax positions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Lapse of statutes of limitation</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7,465</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8,020</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8,110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fiscal tax years that remain subject to examination for the federal tax jurisdiction and major state tax jurisdictions are 2022 and forward. At this time, the Company does not expect the results from any income tax audit to have a material impact on the Company’s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amounts of income taxes paid, net of income tax refunds received, are as follows:</w:t>
      </w:r>
    </w:p>
    <w:p>
      <w:pPr>
        <w:pStyle w:val="TextBody"/>
        <w:bidi w:val="0"/>
        <w:spacing w:before="0" w:after="0"/>
        <w:ind w:left="0" w:right="0" w:hanging="0"/>
        <w:jc w:val="left"/>
        <w:rPr/>
      </w:pPr>
      <w:r>
        <w:rPr/>
        <w:t>​</w:t>
      </w:r>
    </w:p>
    <w:tbl>
      <w:tblPr>
        <w:tblW w:w="8344" w:type="dxa"/>
        <w:jc w:val="left"/>
        <w:tblInd w:w="0" w:type="dxa"/>
        <w:tblLayout w:type="fixed"/>
        <w:tblCellMar>
          <w:top w:w="0" w:type="dxa"/>
          <w:left w:w="0" w:type="dxa"/>
          <w:bottom w:w="0" w:type="dxa"/>
          <w:right w:w="0" w:type="dxa"/>
        </w:tblCellMar>
      </w:tblPr>
      <w:tblGrid>
        <w:gridCol w:w="4471"/>
        <w:gridCol w:w="346"/>
        <w:gridCol w:w="251"/>
        <w:gridCol w:w="679"/>
        <w:gridCol w:w="346"/>
        <w:gridCol w:w="251"/>
        <w:gridCol w:w="679"/>
        <w:gridCol w:w="346"/>
        <w:gridCol w:w="232"/>
        <w:gridCol w:w="743"/>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839085" cy="175260"/>
                      <wp:effectExtent l="0" t="0" r="0" b="0"/>
                      <wp:wrapNone/>
                      <wp:docPr id="451" name="Frame450"/>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59385" cy="175260"/>
                      <wp:effectExtent l="0" t="0" r="0" b="0"/>
                      <wp:wrapNone/>
                      <wp:docPr id="453" name="Frame45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31165" cy="175260"/>
                      <wp:effectExtent l="0" t="0" r="0" b="0"/>
                      <wp:wrapNone/>
                      <wp:docPr id="454" name="Frame453"/>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59385" cy="175260"/>
                      <wp:effectExtent l="0" t="0" r="0" b="0"/>
                      <wp:wrapNone/>
                      <wp:docPr id="456" name="Frame455"/>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31165" cy="175260"/>
                      <wp:effectExtent l="0" t="0" r="0" b="0"/>
                      <wp:wrapNone/>
                      <wp:docPr id="457" name="Frame456"/>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8"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47320" cy="175260"/>
                      <wp:effectExtent l="0" t="0" r="0" b="0"/>
                      <wp:wrapNone/>
                      <wp:docPr id="459" name="Frame45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71805" cy="175260"/>
                      <wp:effectExtent l="0" t="0" r="0" b="0"/>
                      <wp:wrapNone/>
                      <wp:docPr id="460" name="Frame459"/>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of dollars)</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1"/>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paid, net of income tax refunds received</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183.8</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Subordinated Debentures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At January 31, 2026, the Company had $200 million outstanding of its 7.5% subordinated debentures due August 1, 2038. All of these subordinated debentures were held by Dillard’s Capital Trust I (“Trust”), a 100% owned unconsolidated finance subsidiary of the Company. The subordinated debentures are the sole asset of the Trust.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has the right to defer the payment of interest on the subordinated debentures at any time for a period not to exceed 20 consecutive quarters.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January 31, 2026, the Trust had outstanding $200 million liquidation amount of 7.5% Capital Securities, due August 1, 2038 (the “Capital Securities”). Holders of the Capital Securities are entitled to receive cumulative cash distributions, payable quarterly, at the annual rate of 7.5% of the liquidation amount of $25 per Capital Security. The Capital Securities are subject to mandatory redemption upon repayment of the Company’s subordinated debentures. The Company’s obligations under the subordinated debentures and related agreements, taken together, provide a full and unconditional guarantee of payments due on the Capital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Trust is a variable interest entity and is not consolidated into the Company’s financial statements, since the Company is not the primary beneficiary of the Trust.</w:t>
      </w:r>
    </w:p>
    <w:p>
      <w:pPr>
        <w:pStyle w:val="TextBody"/>
        <w:bidi w:val="0"/>
        <w:spacing w:before="0" w:after="240"/>
        <w:ind w:left="0" w:right="0" w:hanging="0"/>
        <w:jc w:val="left"/>
        <w:rPr>
          <w:rFonts w:ascii="Times New Roman;Times;serif" w:hAnsi="Times New Roman;Times;serif"/>
          <w:b/>
          <w:sz w:val="20"/>
        </w:rPr>
      </w:pPr>
      <w:bookmarkStart w:id="1154" w:name="Tc_CLvEdyeTnkCF-jxMrC6Ngg_16_0"/>
      <w:bookmarkStart w:id="1155" w:name="Tc_juww1kQW5EyG5bgfnYKCbQ_15_5"/>
      <w:bookmarkStart w:id="1156" w:name="Tc_arW1cqa43kCvMXd4B8qVmQ_15_2"/>
      <w:bookmarkStart w:id="1157" w:name="Tc_yq1BIiuHqkenfJsWptbtJQ_15_0"/>
      <w:bookmarkStart w:id="1158" w:name="Tc_7gsUWtCKXEKjTRQ51VuZrQ_14_6"/>
      <w:bookmarkStart w:id="1159" w:name="Tc_l6Piz-0oaEm13icCFOlsNA_14_5"/>
      <w:bookmarkStart w:id="1160" w:name="Tc_4LRb1u3RKEi4aEWmLWOUBg_14_3"/>
      <w:bookmarkStart w:id="1161" w:name="Tc_Xm2h66zLTUyJyzFNKr5KdA_14_2"/>
      <w:bookmarkStart w:id="1162" w:name="Tc_fRHIgjTshEa7jc0UGsEPCw_14_0"/>
      <w:bookmarkStart w:id="1163" w:name="Tc_P1ktfENrv0eAALyyXwPOQg_13_0"/>
      <w:bookmarkStart w:id="1164" w:name="Tc_AncOB3Jg90-VAFQyQ-aeaQ_12_0"/>
      <w:bookmarkStart w:id="1165" w:name="Tc_R4FE1E_KDEWcpl12ZzVBUw_11_6"/>
      <w:bookmarkStart w:id="1166" w:name="Tc_qAsjTPWTiU6d3KTyjl_lKg_11_5"/>
      <w:bookmarkStart w:id="1167" w:name="Tc_smTqx_EPREG6n8VteIJiRA_11_3"/>
      <w:bookmarkStart w:id="1168" w:name="Tc_Y2Ecfv-Dhkag1Kks8OmQUQ_11_2"/>
      <w:bookmarkStart w:id="1169" w:name="Tc_sL5T8KLjvEum_vSSslelYw_11_0"/>
      <w:bookmarkStart w:id="1170" w:name="Tc_kdd8Sn2NrUmHePwJ0F_9VA_10_0"/>
      <w:bookmarkStart w:id="1171" w:name="Tc_C_HF_RSK_U2RB8AYi1rDxg_9_5"/>
      <w:bookmarkStart w:id="1172" w:name="Tc_uP1GhnI-JEacj-BTjCEF7w_9_2"/>
      <w:bookmarkStart w:id="1173" w:name="Tc_3qooyeILB0qUq_b4QeO2Uw_9_0"/>
      <w:bookmarkStart w:id="1174" w:name="Tc_u2WS-XZasEqCqaVjY37O7A_8_0"/>
      <w:bookmarkStart w:id="1175" w:name="Tc_mobesNJ5jUSeqExZZXC7xw_7_0"/>
      <w:bookmarkStart w:id="1176" w:name="Tc_3k6WJyftPkqa3shZUdu2OQ_6_0"/>
      <w:bookmarkStart w:id="1177" w:name="Tc_bZ0gZtMXzUqJ-TOQflMVGQ_5_0"/>
      <w:bookmarkStart w:id="1178" w:name="Tc_P-KtM-RTWE6Nnl1WGKSoAw_4_5"/>
      <w:bookmarkStart w:id="1179" w:name="Tc_FU_KViusD0SHX1n9d-rsLw_4_2"/>
      <w:bookmarkStart w:id="1180" w:name="Tc_Tv5cvT6oT0SEWO_vK_CzPw_4_0"/>
      <w:bookmarkStart w:id="1181" w:name="Tc_fIsK5jODrEaP7vAwwpar7Q_3_0"/>
      <w:bookmarkStart w:id="1182" w:name="Tc_RFZgiSFqTUOlwRwDsPz8Mg_2_5"/>
      <w:bookmarkStart w:id="1183" w:name="Tc_SKkLOt97G0mT2a0cD0TVcQ_2_2"/>
      <w:bookmarkStart w:id="1184" w:name="Tc_V_KQPgLGUkObA4ZB6VF12Q_2_0"/>
      <w:bookmarkStart w:id="1185" w:name="Tc_s8qLiuICRkGefppPP5EWJg_1_5"/>
      <w:bookmarkStart w:id="1186" w:name="Tc_GNPKMuzPG0asSmCnWrNdpw_1_2"/>
      <w:bookmarkStart w:id="1187" w:name="_9014a569_eac2_4ef1_ae80_45d8c95eec22"/>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rFonts w:ascii="Times New Roman;Times;serif" w:hAnsi="Times New Roman;Times;serif"/>
          <w:b/>
          <w:sz w:val="20"/>
        </w:rPr>
        <w:t>8.  Benefit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a retirement plan with a 401(k)-salary deferral feature for eligible employees. Under the terms of the plan, eligible employees could contribute up to the lesser of $23,500 ($31,000 if at least 50 years of age) or 75% of eligible pay. Eligible employees with 1 year of service, who elect to participate in the plan or are auto-enrolled, receive a Company matching contribution. Company matching contributions are calculated on the eligible employee’s first 6% of elective deferrals with the first 1% being matched 100% and the next 5% being matched 50%. The Company matching contributions are used to purchase Class A Common Stock of the Company for the benefit of the employee. This stock may be immediately diversified into any of the other funds within the plan at the election of the employee. The terms of the plan provide a </w:t>
      </w:r>
      <w:r>
        <w:rPr>
          <w:rFonts w:ascii="Times New Roman;Times;serif" w:hAnsi="Times New Roman;Times;serif"/>
          <w:b w:val="false"/>
          <w:i w:val="false"/>
          <w:caps w:val="false"/>
          <w:smallCaps w:val="false"/>
          <w:sz w:val="20"/>
        </w:rPr>
        <w:t>two</w:t>
      </w:r>
      <w:r>
        <w:rPr>
          <w:rFonts w:ascii="Times New Roman;Times;serif" w:hAnsi="Times New Roman;Times;serif"/>
          <w:sz w:val="20"/>
        </w:rPr>
        <w:t>-year vesting schedule for the Company matching contribution portion of the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incurred benefit plan expense of approximately $24 million, $22 million and $24 million for fiscal 2025, 2024 and 2023, respectively. Benefit plan expenses are included in selling, general and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an unfunded, nonqualified defined benefit plan (“Pension Plan”) for its officers. The Pension Plan is noncontributory and provides benefits based on years of service and compensation during employment. Pension expense is determined using an actuarial cost method to estimate the total benefits ultimately payable to officers and allocates this cost to service periods. The actuarial assumptions used to calculate pension costs are reviewed annually. The service cost component of net periodic benefit costs is included in selling, general and administrative expenses, and the interest costs and net actuarial loss components are included in other expense in the consolidated statements of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accumulated benefit obligations, change in projected benefit obligation, change in assets, funded status and reconciliation to amounts recognized in the consolidated balance sheets related to the Pension Plan are as follows:</w:t>
      </w:r>
    </w:p>
    <w:p>
      <w:pPr>
        <w:pStyle w:val="TextBody"/>
        <w:bidi w:val="0"/>
        <w:spacing w:before="0" w:after="0"/>
        <w:ind w:left="0" w:right="0" w:hanging="0"/>
        <w:jc w:val="left"/>
        <w:rPr/>
      </w:pPr>
      <w:r>
        <w:rPr/>
        <w:t>​</w:t>
      </w:r>
    </w:p>
    <w:tbl>
      <w:tblPr>
        <w:tblW w:w="7792" w:type="dxa"/>
        <w:jc w:val="left"/>
        <w:tblInd w:w="0" w:type="dxa"/>
        <w:tblLayout w:type="fixed"/>
        <w:tblCellMar>
          <w:top w:w="0" w:type="dxa"/>
          <w:left w:w="0" w:type="dxa"/>
          <w:bottom w:w="0" w:type="dxa"/>
          <w:right w:w="0" w:type="dxa"/>
        </w:tblCellMar>
      </w:tblPr>
      <w:tblGrid>
        <w:gridCol w:w="4831"/>
        <w:gridCol w:w="346"/>
        <w:gridCol w:w="211"/>
        <w:gridCol w:w="901"/>
        <w:gridCol w:w="346"/>
        <w:gridCol w:w="211"/>
        <w:gridCol w:w="946"/>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067685" cy="175260"/>
                      <wp:effectExtent l="0" t="0" r="0" b="0"/>
                      <wp:wrapNone/>
                      <wp:docPr id="461" name="Frame460"/>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72135" cy="175260"/>
                      <wp:effectExtent l="0" t="0" r="0" b="0"/>
                      <wp:wrapNone/>
                      <wp:docPr id="464" name="Frame4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65"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3985" cy="175260"/>
                      <wp:effectExtent l="0" t="0" r="0" b="0"/>
                      <wp:wrapNone/>
                      <wp:docPr id="466"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00710" cy="175260"/>
                      <wp:effectExtent l="0" t="0" r="0" b="0"/>
                      <wp:wrapNone/>
                      <wp:docPr id="467" name="Frame46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benefit obligation: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obligation at beginning of year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316,487</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6,355</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15,901</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(31,876)</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(7,949)</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obligation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298,918</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Pension Plan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Pension Plan assets at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 contribution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7,949</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(7,949)</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Pension Plan assets at end of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Funded status (Pension Plan assets less benefit obligation)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(298,918)</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recognized in the balance sheets: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88" w:name="Tc_juLM_J2ePE-5z0ZUkvl4xg_7_0"/>
      <w:bookmarkStart w:id="1189" w:name="Tc_TR_9Bwi-1k-lZCiOf0isWA_6_0"/>
      <w:bookmarkStart w:id="1190" w:name="Tc_K7BCKJ7dk0a5MPlqWuDXUw_5_0"/>
      <w:bookmarkStart w:id="1191" w:name="Tc_izr2I722sU-CM59QsVFLpg_4_0"/>
      <w:bookmarkStart w:id="1192" w:name="Tc_xKK7ibbYh0mfRuRvfMV8Bg_3_4"/>
      <w:bookmarkStart w:id="1193" w:name="Tc_3ocM6RC5XEOkqyE1qwyLbQ_3_2"/>
      <w:bookmarkStart w:id="1194" w:name="Tc_YG_s12fLCU23jROsi2rZjQ_3_0"/>
      <w:bookmarkStart w:id="1195" w:name="Tc_lcAicWCghEaG5WxP1AbwYQ_2_0"/>
      <w:bookmarkStart w:id="1196" w:name="Tc_GhQb3SAeyESkNrcRUs-ldQ_1_0"/>
      <w:bookmarkStart w:id="1197" w:name="_fb80ccb5_9958_4c3d_bb36_6019c84daeec"/>
      <w:bookmarkStart w:id="1198" w:name="Tc_WBecYqwNDUWs08xjv0tVXQ_11_8"/>
      <w:bookmarkStart w:id="1199" w:name="Tc_Lr3f6ehg1kuPPI3ZiKOfQA_11_5"/>
      <w:bookmarkStart w:id="1200" w:name="Tc_nwztI8N9Q0aii98pKThbkg_11_2"/>
      <w:bookmarkStart w:id="1201" w:name="Tc_MAaVv5hk9UWQoe9wC4d14w_11_0"/>
      <w:bookmarkStart w:id="1202" w:name="Tc_knT7UDKhMUa1g2YRyKF9Pw_10_8"/>
      <w:bookmarkStart w:id="1203" w:name="Tc_NFATN-ObXEuOsPapfy8tOQ_10_5"/>
      <w:bookmarkStart w:id="1204" w:name="Tc_5ZRqiFvX1UeeKGjsXb4r3A_10_2"/>
      <w:bookmarkStart w:id="1205" w:name="Tc_CfamiRNCdUS3phXPWo1Lgw_10_0"/>
      <w:bookmarkStart w:id="1206" w:name="Tc_1syVgrrqMU6vy0o1Q_JAMg_9_9"/>
      <w:bookmarkStart w:id="1207" w:name="Tc_h7sGzCI2k06aGYsYxF40UQ_9_6"/>
      <w:bookmarkStart w:id="1208" w:name="Tc__j7hkt8SQEm_aWUy1gUKiQ_9_3"/>
      <w:bookmarkStart w:id="1209" w:name="Tc_bus8GbERc0GoskchihqtSA_9_0"/>
      <w:bookmarkStart w:id="1210" w:name="Tc_EeOEfBj0PUi6Ym-u_Dae3Q_8_8"/>
      <w:bookmarkStart w:id="1211" w:name="Tc_ohXvv9twtEiyePo4TXn0yA_8_5"/>
      <w:bookmarkStart w:id="1212" w:name="Tc_4raLGctx4k2U4ljaU8Vi6Q_8_2"/>
      <w:bookmarkStart w:id="1213" w:name="Tc_esLxYYvziUuhGc9qNwJGxg_8_0"/>
      <w:bookmarkStart w:id="1214" w:name="Tc_aUeBQ6DCIU6X-7Sthyjx7Q_7_0"/>
      <w:bookmarkStart w:id="1215" w:name="Tc_CTymzN5z1k6_qpwjLdpXqw_6_8"/>
      <w:bookmarkStart w:id="1216" w:name="Tc_l8GictByy0qfTAcn_DxLSA_6_5"/>
      <w:bookmarkStart w:id="1217" w:name="Tc_Q0dQGd6weUKV-Ofx0SjkYQ_6_2"/>
      <w:bookmarkStart w:id="1218" w:name="Tc_o50AFztLfEiRUAvsfrAGhQ_5_0"/>
      <w:bookmarkStart w:id="1219" w:name="Tc_bsTIbIdXvUGedmEfsTUkxQ_4_0"/>
      <w:bookmarkStart w:id="1220" w:name="Tc_A2QKwRk8REaPXZCVshF7dg_3_8"/>
      <w:bookmarkStart w:id="1221" w:name="Tc__5ynp3eG60KFmxIWlNgewA_3_5"/>
      <w:bookmarkStart w:id="1222" w:name="Tc_lNE2I0uhrUezNLSRcXtFwQ_3_2"/>
      <w:bookmarkStart w:id="1223" w:name="Tc_55KmLtJbQkaPh-RCyejw-A_3_0"/>
      <w:bookmarkStart w:id="1224" w:name="Tc_HyolXzfzsES7K2mc73WI2w_2_0"/>
      <w:bookmarkStart w:id="1225" w:name="Tc_bBcrKVCwPEisBeI5sGfvCg_1_8"/>
      <w:bookmarkStart w:id="1226" w:name="Tc_JjxjstAJL0GLxyZCPlIIig_1_5"/>
      <w:bookmarkStart w:id="1227" w:name="Tc_BjTN8qqXWUaHcQuRg2_R0g_1_2"/>
      <w:bookmarkStart w:id="1228" w:name="Tc_LwQLO-x9y0me8APbHr36qA_1_0"/>
      <w:bookmarkStart w:id="1229" w:name="Tc_17-ngot650ebcVq4Rf3W-A_5_7"/>
      <w:bookmarkStart w:id="1230" w:name="Tc_YFQJIEKv706Oh3Cc7XNPvQ_5_5"/>
      <w:bookmarkStart w:id="1231" w:name="Tc_AGyTAeqm3kSBbiOkpeivxA_5_3"/>
      <w:bookmarkStart w:id="1232" w:name="Tc_rfJUngtDkkWkpLu0XLW6mw_5_0"/>
      <w:bookmarkStart w:id="1233" w:name="Tc_jJZTZArq106G086zYwBO7w_4_7"/>
      <w:bookmarkStart w:id="1234" w:name="Tc___OEDSUauk2XD7v4Jfblew_4_5"/>
      <w:bookmarkStart w:id="1235" w:name="Tc_6CYrRmD0oUqqwcN7K1_6JQ_4_3"/>
      <w:bookmarkStart w:id="1236" w:name="Tc_0exqkMkAjUuC6ySezVklZA_4_0"/>
      <w:bookmarkStart w:id="1237" w:name="Tc_X89Ad76WP0CG1FzEylhyRg_3_7"/>
      <w:bookmarkStart w:id="1238" w:name="Tc_FVO5DgA8vE-LxrPZDlU3bA_3_5"/>
      <w:bookmarkStart w:id="1239" w:name="Tc_st_pNgUE_kWgPdtFXfKJ_A_3_3"/>
      <w:bookmarkStart w:id="1240" w:name="Tc__-d83IkmUESTsdz1i8On0w_3_0"/>
      <w:bookmarkStart w:id="1241" w:name="Tc_v0UbmH6UO0e7na6EON9jvQ_2_7"/>
      <w:bookmarkStart w:id="1242" w:name="Tc_qHG6myh7sU6bXFmGKyRzQQ_2_5"/>
      <w:bookmarkStart w:id="1243" w:name="Tc_fEzD-9oDwkilN3FqQt0pkA_2_3"/>
      <w:bookmarkStart w:id="1244" w:name="Tc_ZmQP58MAMkesj4DwKKSqog_2_0"/>
      <w:bookmarkStart w:id="1245" w:name="Tc_bCyEoRwJaUSjAhjEpehr2Q_1_6"/>
      <w:bookmarkStart w:id="1246" w:name="Tc_TsVAZa1Fx0qVxo4lmduM_g_1_4"/>
      <w:bookmarkStart w:id="1247" w:name="Tc_XAqD-YpL-EqRvumbrB51fQ_1_2"/>
      <w:bookmarkStart w:id="1248" w:name="_42dcf2df_443c_491f_a6ad_838bce2319f1"/>
      <w:bookmarkStart w:id="1249" w:name="Tc_MgO5MH4x8EGzlgs2MoZjAQ_24_5"/>
      <w:bookmarkStart w:id="1250" w:name="Tc_CIsJkRwK6k2Ygs3OQ5I26A_24_2"/>
      <w:bookmarkStart w:id="1251" w:name="Tc_gtzdf1kByUSDQHSSi_fcUQ_24_0"/>
      <w:bookmarkStart w:id="1252" w:name="Tc_N0HpUbJsFEyq_9MRB_Iyqg_22_5"/>
      <w:bookmarkStart w:id="1253" w:name="Tc_B9qohmL49kyatdDKZq1lhg_22_2"/>
      <w:bookmarkStart w:id="1254" w:name="Tc_TtS_-JSKAkGeASEvpUCTLA_22_0"/>
      <w:bookmarkStart w:id="1255" w:name="Tc_qNmk9Qttd0a2Pq-eaToTXg_21_6"/>
      <w:bookmarkStart w:id="1256" w:name="Tc_H1hZ30Uw9UKO9yokR_ZLXA_21_3"/>
      <w:bookmarkStart w:id="1257" w:name="Tc_WYBK81JaQUu8stMjcnQLOQ_21_0"/>
      <w:bookmarkStart w:id="1258" w:name="Tc_2_WGCK_BnU6kIjerd3gH8w_20_5"/>
      <w:bookmarkStart w:id="1259" w:name="Tc_whPSjumHOkyYK8sWUS4Dng_20_2"/>
      <w:bookmarkStart w:id="1260" w:name="Tc_PxiMfvIT7kGNCz_G_QrCOA_20_0"/>
      <w:bookmarkStart w:id="1261" w:name="Tc_o5z8suKvHkSgYdVtdThSRw_19_0"/>
      <w:bookmarkStart w:id="1262" w:name="Tc_eRtVrUs-KEaUoqCKMDiRfg_18_5"/>
      <w:bookmarkStart w:id="1263" w:name="Tc_F8tgMMVTvECLnuD9VQu08Q_18_2"/>
      <w:bookmarkStart w:id="1264" w:name="Tc_a65GVxVeDUuEcZSoGXc1oA_18_0"/>
      <w:bookmarkStart w:id="1265" w:name="Tc_7eJlCyQyo0-pBN-l_sBiCQ_17_5"/>
      <w:bookmarkStart w:id="1266" w:name="Tc_L1tNdGWlaEmvyvUO0-ZiEw_17_2"/>
      <w:bookmarkStart w:id="1267" w:name="Tc_Sib8MEeFd06gi0y21iGt2w_17_0"/>
      <w:bookmarkStart w:id="1268" w:name="Tc_juLM_J2ePE-5z0ZUkvl4xg_7_0"/>
      <w:bookmarkStart w:id="1269" w:name="Tc_TR_9Bwi-1k-lZCiOf0isWA_6_0"/>
      <w:bookmarkStart w:id="1270" w:name="Tc_K7BCKJ7dk0a5MPlqWuDXUw_5_0"/>
      <w:bookmarkStart w:id="1271" w:name="Tc_izr2I722sU-CM59QsVFLpg_4_0"/>
      <w:bookmarkStart w:id="1272" w:name="Tc_xKK7ibbYh0mfRuRvfMV8Bg_3_4"/>
      <w:bookmarkStart w:id="1273" w:name="Tc_3ocM6RC5XEOkqyE1qwyLbQ_3_2"/>
      <w:bookmarkStart w:id="1274" w:name="Tc_YG_s12fLCU23jROsi2rZjQ_3_0"/>
      <w:bookmarkStart w:id="1275" w:name="Tc_lcAicWCghEaG5WxP1AbwYQ_2_0"/>
      <w:bookmarkStart w:id="1276" w:name="Tc_GhQb3SAeyESkNrcRUs-ldQ_1_0"/>
      <w:bookmarkStart w:id="1277" w:name="_fb80ccb5_9958_4c3d_bb36_6019c84daeec"/>
      <w:bookmarkStart w:id="1278" w:name="Tc_WBecYqwNDUWs08xjv0tVXQ_11_8"/>
      <w:bookmarkStart w:id="1279" w:name="Tc_Lr3f6ehg1kuPPI3ZiKOfQA_11_5"/>
      <w:bookmarkStart w:id="1280" w:name="Tc_nwztI8N9Q0aii98pKThbkg_11_2"/>
      <w:bookmarkStart w:id="1281" w:name="Tc_MAaVv5hk9UWQoe9wC4d14w_11_0"/>
      <w:bookmarkStart w:id="1282" w:name="Tc_knT7UDKhMUa1g2YRyKF9Pw_10_8"/>
      <w:bookmarkStart w:id="1283" w:name="Tc_NFATN-ObXEuOsPapfy8tOQ_10_5"/>
      <w:bookmarkStart w:id="1284" w:name="Tc_5ZRqiFvX1UeeKGjsXb4r3A_10_2"/>
      <w:bookmarkStart w:id="1285" w:name="Tc_CfamiRNCdUS3phXPWo1Lgw_10_0"/>
      <w:bookmarkStart w:id="1286" w:name="Tc_1syVgrrqMU6vy0o1Q_JAMg_9_9"/>
      <w:bookmarkStart w:id="1287" w:name="Tc_h7sGzCI2k06aGYsYxF40UQ_9_6"/>
      <w:bookmarkStart w:id="1288" w:name="Tc__j7hkt8SQEm_aWUy1gUKiQ_9_3"/>
      <w:bookmarkStart w:id="1289" w:name="Tc_bus8GbERc0GoskchihqtSA_9_0"/>
      <w:bookmarkStart w:id="1290" w:name="Tc_EeOEfBj0PUi6Ym-u_Dae3Q_8_8"/>
      <w:bookmarkStart w:id="1291" w:name="Tc_ohXvv9twtEiyePo4TXn0yA_8_5"/>
      <w:bookmarkStart w:id="1292" w:name="Tc_4raLGctx4k2U4ljaU8Vi6Q_8_2"/>
      <w:bookmarkStart w:id="1293" w:name="Tc_esLxYYvziUuhGc9qNwJGxg_8_0"/>
      <w:bookmarkStart w:id="1294" w:name="Tc_aUeBQ6DCIU6X-7Sthyjx7Q_7_0"/>
      <w:bookmarkStart w:id="1295" w:name="Tc_CTymzN5z1k6_qpwjLdpXqw_6_8"/>
      <w:bookmarkStart w:id="1296" w:name="Tc_l8GictByy0qfTAcn_DxLSA_6_5"/>
      <w:bookmarkStart w:id="1297" w:name="Tc_Q0dQGd6weUKV-Ofx0SjkYQ_6_2"/>
      <w:bookmarkStart w:id="1298" w:name="Tc_o50AFztLfEiRUAvsfrAGhQ_5_0"/>
      <w:bookmarkStart w:id="1299" w:name="Tc_bsTIbIdXvUGedmEfsTUkxQ_4_0"/>
      <w:bookmarkStart w:id="1300" w:name="Tc_A2QKwRk8REaPXZCVshF7dg_3_8"/>
      <w:bookmarkStart w:id="1301" w:name="Tc__5ynp3eG60KFmxIWlNgewA_3_5"/>
      <w:bookmarkStart w:id="1302" w:name="Tc_lNE2I0uhrUezNLSRcXtFwQ_3_2"/>
      <w:bookmarkStart w:id="1303" w:name="Tc_55KmLtJbQkaPh-RCyejw-A_3_0"/>
      <w:bookmarkStart w:id="1304" w:name="Tc_HyolXzfzsES7K2mc73WI2w_2_0"/>
      <w:bookmarkStart w:id="1305" w:name="Tc_bBcrKVCwPEisBeI5sGfvCg_1_8"/>
      <w:bookmarkStart w:id="1306" w:name="Tc_JjxjstAJL0GLxyZCPlIIig_1_5"/>
      <w:bookmarkStart w:id="1307" w:name="Tc_BjTN8qqXWUaHcQuRg2_R0g_1_2"/>
      <w:bookmarkStart w:id="1308" w:name="Tc_LwQLO-x9y0me8APbHr36qA_1_0"/>
      <w:bookmarkStart w:id="1309" w:name="Tc_17-ngot650ebcVq4Rf3W-A_5_7"/>
      <w:bookmarkStart w:id="1310" w:name="Tc_YFQJIEKv706Oh3Cc7XNPvQ_5_5"/>
      <w:bookmarkStart w:id="1311" w:name="Tc_AGyTAeqm3kSBbiOkpeivxA_5_3"/>
      <w:bookmarkStart w:id="1312" w:name="Tc_rfJUngtDkkWkpLu0XLW6mw_5_0"/>
      <w:bookmarkStart w:id="1313" w:name="Tc_jJZTZArq106G086zYwBO7w_4_7"/>
      <w:bookmarkStart w:id="1314" w:name="Tc___OEDSUauk2XD7v4Jfblew_4_5"/>
      <w:bookmarkStart w:id="1315" w:name="Tc_6CYrRmD0oUqqwcN7K1_6JQ_4_3"/>
      <w:bookmarkStart w:id="1316" w:name="Tc_0exqkMkAjUuC6ySezVklZA_4_0"/>
      <w:bookmarkStart w:id="1317" w:name="Tc_X89Ad76WP0CG1FzEylhyRg_3_7"/>
      <w:bookmarkStart w:id="1318" w:name="Tc_FVO5DgA8vE-LxrPZDlU3bA_3_5"/>
      <w:bookmarkStart w:id="1319" w:name="Tc_st_pNgUE_kWgPdtFXfKJ_A_3_3"/>
      <w:bookmarkStart w:id="1320" w:name="Tc__-d83IkmUESTsdz1i8On0w_3_0"/>
      <w:bookmarkStart w:id="1321" w:name="Tc_v0UbmH6UO0e7na6EON9jvQ_2_7"/>
      <w:bookmarkStart w:id="1322" w:name="Tc_qHG6myh7sU6bXFmGKyRzQQ_2_5"/>
      <w:bookmarkStart w:id="1323" w:name="Tc_fEzD-9oDwkilN3FqQt0pkA_2_3"/>
      <w:bookmarkStart w:id="1324" w:name="Tc_ZmQP58MAMkesj4DwKKSqog_2_0"/>
      <w:bookmarkStart w:id="1325" w:name="Tc_bCyEoRwJaUSjAhjEpehr2Q_1_6"/>
      <w:bookmarkStart w:id="1326" w:name="Tc_TsVAZa1Fx0qVxo4lmduM_g_1_4"/>
      <w:bookmarkStart w:id="1327" w:name="Tc_XAqD-YpL-EqRvumbrB51fQ_1_2"/>
      <w:bookmarkStart w:id="1328" w:name="_42dcf2df_443c_491f_a6ad_838bce2319f1"/>
      <w:bookmarkStart w:id="1329" w:name="Tc_MgO5MH4x8EGzlgs2MoZjAQ_24_5"/>
      <w:bookmarkStart w:id="1330" w:name="Tc_CIsJkRwK6k2Ygs3OQ5I26A_24_2"/>
      <w:bookmarkStart w:id="1331" w:name="Tc_gtzdf1kByUSDQHSSi_fcUQ_24_0"/>
      <w:bookmarkStart w:id="1332" w:name="Tc_N0HpUbJsFEyq_9MRB_Iyqg_22_5"/>
      <w:bookmarkStart w:id="1333" w:name="Tc_B9qohmL49kyatdDKZq1lhg_22_2"/>
      <w:bookmarkStart w:id="1334" w:name="Tc_TtS_-JSKAkGeASEvpUCTLA_22_0"/>
      <w:bookmarkStart w:id="1335" w:name="Tc_qNmk9Qttd0a2Pq-eaToTXg_21_6"/>
      <w:bookmarkStart w:id="1336" w:name="Tc_H1hZ30Uw9UKO9yokR_ZLXA_21_3"/>
      <w:bookmarkStart w:id="1337" w:name="Tc_WYBK81JaQUu8stMjcnQLOQ_21_0"/>
      <w:bookmarkStart w:id="1338" w:name="Tc_2_WGCK_BnU6kIjerd3gH8w_20_5"/>
      <w:bookmarkStart w:id="1339" w:name="Tc_whPSjumHOkyYK8sWUS4Dng_20_2"/>
      <w:bookmarkStart w:id="1340" w:name="Tc_PxiMfvIT7kGNCz_G_QrCOA_20_0"/>
      <w:bookmarkStart w:id="1341" w:name="Tc_o5z8suKvHkSgYdVtdThSRw_19_0"/>
      <w:bookmarkStart w:id="1342" w:name="Tc_eRtVrUs-KEaUoqCKMDiRfg_18_5"/>
      <w:bookmarkStart w:id="1343" w:name="Tc_F8tgMMVTvECLnuD9VQu08Q_18_2"/>
      <w:bookmarkStart w:id="1344" w:name="Tc_a65GVxVeDUuEcZSoGXc1oA_18_0"/>
      <w:bookmarkStart w:id="1345" w:name="Tc_7eJlCyQyo0-pBN-l_sBiCQ_17_5"/>
      <w:bookmarkStart w:id="1346" w:name="Tc_L1tNdGWlaEmvyvUO0-ZiEw_17_2"/>
      <w:bookmarkStart w:id="1347" w:name="Tc_Sib8MEeFd06gi0y21iGt2w_17_0"/>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p>
    <w:tbl>
      <w:tblPr>
        <w:tblW w:w="8248" w:type="dxa"/>
        <w:jc w:val="left"/>
        <w:tblInd w:w="0" w:type="dxa"/>
        <w:tblLayout w:type="fixed"/>
        <w:tblCellMar>
          <w:top w:w="0" w:type="dxa"/>
          <w:left w:w="0" w:type="dxa"/>
          <w:bottom w:w="0" w:type="dxa"/>
          <w:right w:w="0" w:type="dxa"/>
        </w:tblCellMar>
      </w:tblPr>
      <w:tblGrid>
        <w:gridCol w:w="5761"/>
        <w:gridCol w:w="109"/>
        <w:gridCol w:w="211"/>
        <w:gridCol w:w="901"/>
        <w:gridCol w:w="109"/>
        <w:gridCol w:w="211"/>
        <w:gridCol w:w="946"/>
      </w:tblGrid>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benefit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(298,918)</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recognized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(298,918)</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amounts recognized in accumulated 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actuarial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57,310</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service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recognized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57,310</w:t>
            </w:r>
          </w:p>
        </w:tc>
      </w:tr>
      <w:tr>
        <w:trPr/>
        <w:tc>
          <w:tcPr>
            <w:tcW w:w="57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benefit obligation at end of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(284,168)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accrued benefit liability is included in other liabilities. At January 31, 2026 and February 1, 2025, the current portion of the accrued benefit liability of $8.3 million and $8.0 million, respectively, is included in trade accounts payable and accrued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increase in the benefit obligation from February 1, 2025 to January 31, 2026 was primarily related to the increases from service and interest costs as well as the change in the discount rate to 5.4% as of January 31, 2026 from 5.6% as of February 1, 2025 partially offset by a reduction from changes in retirement age assumptions on certain officers. The discount rate that the Company utilizes for determining future pension obligations is based on the FTSE Above Median Pension yield curve on its annual measurement date as of the end of each fiscal year and is matched to the future expected cash flows of the benefit plans by semi-annual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Weighted average assumptions are as follows:</w:t>
      </w:r>
    </w:p>
    <w:p>
      <w:pPr>
        <w:pStyle w:val="TextBody"/>
        <w:bidi w:val="0"/>
        <w:spacing w:before="0" w:after="0"/>
        <w:ind w:left="0" w:right="0" w:hanging="0"/>
        <w:jc w:val="left"/>
        <w:rPr/>
      </w:pPr>
      <w:r>
        <w:rPr/>
        <w:t>​</w:t>
      </w:r>
    </w:p>
    <w:tbl>
      <w:tblPr>
        <w:tblW w:w="9083" w:type="dxa"/>
        <w:jc w:val="left"/>
        <w:tblInd w:w="0" w:type="dxa"/>
        <w:tblLayout w:type="fixed"/>
        <w:tblCellMar>
          <w:top w:w="0" w:type="dxa"/>
          <w:left w:w="0" w:type="dxa"/>
          <w:bottom w:w="0" w:type="dxa"/>
          <w:right w:w="0" w:type="dxa"/>
        </w:tblCellMar>
      </w:tblPr>
      <w:tblGrid>
        <w:gridCol w:w="4906"/>
        <w:gridCol w:w="346"/>
        <w:gridCol w:w="931"/>
        <w:gridCol w:w="361"/>
        <w:gridCol w:w="931"/>
        <w:gridCol w:w="361"/>
        <w:gridCol w:w="931"/>
        <w:gridCol w:w="316"/>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3115310" cy="175260"/>
                      <wp:effectExtent l="0" t="0" r="0" b="0"/>
                      <wp:wrapNone/>
                      <wp:docPr id="468" name="Frame467"/>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91185" cy="175260"/>
                      <wp:effectExtent l="0" t="0" r="0" b="0"/>
                      <wp:wrapNone/>
                      <wp:docPr id="470" name="Frame4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29235" cy="175260"/>
                      <wp:effectExtent l="0" t="0" r="0" b="0"/>
                      <wp:wrapNone/>
                      <wp:docPr id="471" name="Frame4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91185" cy="175260"/>
                      <wp:effectExtent l="0" t="0" r="0" b="0"/>
                      <wp:wrapNone/>
                      <wp:docPr id="472" name="Frame4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29235" cy="175260"/>
                      <wp:effectExtent l="0" t="0" r="0" b="0"/>
                      <wp:wrapNone/>
                      <wp:docPr id="473" name="Frame4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91185" cy="175260"/>
                      <wp:effectExtent l="0" t="0" r="0" b="0"/>
                      <wp:wrapNone/>
                      <wp:docPr id="474" name="Frame4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0660" cy="175260"/>
                      <wp:effectExtent l="0" t="0" r="0" b="0"/>
                      <wp:wrapNone/>
                      <wp:docPr id="475" name="Frame4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61"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61"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c>
          <w:tcPr>
            <w:tcW w:w="316" w:type="dxa"/>
            <w:tcBorders/>
            <w:vAlign w:val="center"/>
          </w:tcPr>
          <w:p>
            <w:pPr>
              <w:pStyle w:val="TableContents"/>
              <w:bidi w:val="0"/>
              <w:spacing w:before="0" w:after="0"/>
              <w:ind w:left="0" w:right="0" w:hanging="0"/>
              <w:jc w:val="center"/>
              <w:rPr/>
            </w:pPr>
            <w:r>
              <w:rPr/>
              <w:t> </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rate—net periodic pension cost</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rate—benefit obligations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of compensation increases—net periodic pension cost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of compensation increases—benefit obligations</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net periodic benefit costs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77"/>
        <w:gridCol w:w="406"/>
        <w:gridCol w:w="215"/>
        <w:gridCol w:w="706"/>
        <w:gridCol w:w="406"/>
        <w:gridCol w:w="211"/>
        <w:gridCol w:w="784"/>
        <w:gridCol w:w="406"/>
        <w:gridCol w:w="211"/>
        <w:gridCol w:w="783"/>
      </w:tblGrid>
      <w:tr>
        <w:trPr/>
        <w:tc>
          <w:tcPr>
            <w:tcW w:w="6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858895" cy="175260"/>
                      <wp:effectExtent l="0" t="0" r="0" b="0"/>
                      <wp:wrapNone/>
                      <wp:docPr id="476" name="Frame475"/>
                      <a:graphic xmlns:a="http://schemas.openxmlformats.org/drawingml/2006/main">
                        <a:graphicData uri="http://schemas.microsoft.com/office/word/2010/wordprocessingShape">
                          <wps:wsp>
                            <wps:cNvSpPr txBox="1"/>
                            <wps:spPr>
                              <a:xfrm>
                                <a:off x="0" y="0"/>
                                <a:ext cx="3858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57810" cy="175260"/>
                      <wp:effectExtent l="0" t="0" r="0" b="0"/>
                      <wp:wrapNone/>
                      <wp:docPr id="477" name="Frame47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6525" cy="175260"/>
                      <wp:effectExtent l="0" t="0" r="0" b="0"/>
                      <wp:wrapNone/>
                      <wp:docPr id="478" name="Frame47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48310" cy="175260"/>
                      <wp:effectExtent l="0" t="0" r="0" b="0"/>
                      <wp:wrapNone/>
                      <wp:docPr id="479" name="Frame47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57810" cy="175260"/>
                      <wp:effectExtent l="0" t="0" r="0" b="0"/>
                      <wp:wrapNone/>
                      <wp:docPr id="480" name="Frame47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97840" cy="175260"/>
                      <wp:effectExtent l="0" t="0" r="0" b="0"/>
                      <wp:wrapNone/>
                      <wp:docPr id="482" name="Frame481"/>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57810" cy="175260"/>
                      <wp:effectExtent l="0" t="0" r="0" b="0"/>
                      <wp:wrapNone/>
                      <wp:docPr id="483" name="Frame48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97205" cy="175260"/>
                      <wp:effectExtent l="0" t="0" r="0" b="0"/>
                      <wp:wrapNone/>
                      <wp:docPr id="485" name="Frame48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406" w:type="dxa"/>
            <w:tcBorders/>
            <w:vAlign w:val="center"/>
          </w:tcPr>
          <w:p>
            <w:pPr>
              <w:pStyle w:val="TableContents"/>
              <w:bidi w:val="0"/>
              <w:spacing w:before="0" w:after="0"/>
              <w:ind w:left="0" w:right="0" w:hanging="0"/>
              <w:jc w:val="left"/>
              <w:rPr/>
            </w:pPr>
            <w:r>
              <w:rPr/>
              <w:t>  ​ ​ ​ ​</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406" w:type="dxa"/>
            <w:tcBorders/>
            <w:vAlign w:val="center"/>
          </w:tcPr>
          <w:p>
            <w:pPr>
              <w:pStyle w:val="TableContents"/>
              <w:bidi w:val="0"/>
              <w:spacing w:before="0" w:after="0"/>
              <w:ind w:left="0" w:right="0" w:hanging="0"/>
              <w:jc w:val="left"/>
              <w:rPr/>
            </w:pPr>
            <w:r>
              <w:rPr/>
              <w:t>  ​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406" w:type="dxa"/>
            <w:tcBorders/>
            <w:vAlign w:val="center"/>
          </w:tcPr>
          <w:p>
            <w:pPr>
              <w:pStyle w:val="TableContents"/>
              <w:bidi w:val="0"/>
              <w:spacing w:before="0" w:after="0"/>
              <w:ind w:left="0" w:right="0" w:hanging="0"/>
              <w:jc w:val="left"/>
              <w:rPr/>
            </w:pPr>
            <w:r>
              <w:rPr/>
              <w:t>  ​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60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costs:</w:t>
            </w:r>
          </w:p>
        </w:tc>
        <w:tc>
          <w:tcPr>
            <w:tcW w:w="4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r>
      <w:tr>
        <w:trPr/>
        <w:tc>
          <w:tcPr>
            <w:tcW w:w="60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4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5,756</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6,355</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w:t>
            </w:r>
          </w:p>
        </w:tc>
      </w:tr>
      <w:tr>
        <w:trPr/>
        <w:tc>
          <w:tcPr>
            <w:tcW w:w="60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4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12,948</w:t>
            </w:r>
          </w:p>
        </w:tc>
      </w:tr>
      <w:tr>
        <w:trPr/>
        <w:tc>
          <w:tcPr>
            <w:tcW w:w="60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actuarial loss</w:t>
            </w:r>
          </w:p>
        </w:tc>
        <w:tc>
          <w:tcPr>
            <w:tcW w:w="4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3,716</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8,731</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w:t>
            </w:r>
          </w:p>
        </w:tc>
      </w:tr>
      <w:tr>
        <w:trPr/>
        <w:tc>
          <w:tcPr>
            <w:tcW w:w="6077"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periodic benefit costs</w:t>
            </w:r>
          </w:p>
        </w:tc>
        <w:tc>
          <w:tcPr>
            <w:tcW w:w="4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25,896</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23,838</w:t>
            </w:r>
          </w:p>
        </w:tc>
      </w:tr>
      <w:tr>
        <w:trPr/>
        <w:tc>
          <w:tcPr>
            <w:tcW w:w="60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in benefit obligations recognized in other comprehensive loss (income):</w:t>
            </w:r>
          </w:p>
        </w:tc>
        <w:tc>
          <w:tcPr>
            <w:tcW w:w="4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r>
      <w:tr>
        <w:trPr/>
        <w:tc>
          <w:tcPr>
            <w:tcW w:w="60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actuarial (gain) loss</w:t>
            </w:r>
          </w:p>
        </w:tc>
        <w:tc>
          <w:tcPr>
            <w:tcW w:w="4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26,490</w:t>
            </w:r>
          </w:p>
        </w:tc>
      </w:tr>
      <w:tr>
        <w:trPr/>
        <w:tc>
          <w:tcPr>
            <w:tcW w:w="60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w:t>
            </w:r>
          </w:p>
        </w:tc>
        <w:tc>
          <w:tcPr>
            <w:tcW w:w="4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recognized in other comprehensive (income) loss</w:t>
            </w:r>
          </w:p>
        </w:tc>
        <w:tc>
          <w:tcPr>
            <w:tcW w:w="4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(40,607)</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26,490</w:t>
            </w:r>
          </w:p>
        </w:tc>
      </w:tr>
      <w:tr>
        <w:trPr/>
        <w:tc>
          <w:tcPr>
            <w:tcW w:w="60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recognized in net periodic benefit costs and other comprehensive income or loss</w:t>
            </w:r>
          </w:p>
        </w:tc>
        <w:tc>
          <w:tcPr>
            <w:tcW w:w="40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23,736</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50,328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future benefits payments for the nonqualified benefit plan are as follows:</w:t>
      </w:r>
    </w:p>
    <w:p>
      <w:pPr>
        <w:pStyle w:val="TextBody"/>
        <w:bidi w:val="0"/>
        <w:spacing w:before="0" w:after="0"/>
        <w:ind w:left="0" w:right="0" w:hanging="0"/>
        <w:jc w:val="left"/>
        <w:rPr/>
      </w:pPr>
      <w:r>
        <w:rPr/>
        <w:t>​</w:t>
      </w:r>
    </w:p>
    <w:tbl>
      <w:tblPr>
        <w:tblW w:w="3365" w:type="dxa"/>
        <w:jc w:val="left"/>
        <w:tblInd w:w="0" w:type="dxa"/>
        <w:tblLayout w:type="fixed"/>
        <w:tblCellMar>
          <w:top w:w="0" w:type="dxa"/>
          <w:left w:w="0" w:type="dxa"/>
          <w:bottom w:w="0" w:type="dxa"/>
          <w:right w:w="0" w:type="dxa"/>
        </w:tblCellMar>
      </w:tblPr>
      <w:tblGrid>
        <w:gridCol w:w="1876"/>
        <w:gridCol w:w="346"/>
        <w:gridCol w:w="211"/>
        <w:gridCol w:w="676"/>
        <w:gridCol w:w="25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191260" cy="175260"/>
                      <wp:effectExtent l="0" t="0" r="0" b="0"/>
                      <wp:wrapNone/>
                      <wp:docPr id="486" name="Frame485"/>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7"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29260" cy="175260"/>
                      <wp:effectExtent l="0" t="0" r="0" b="0"/>
                      <wp:wrapNone/>
                      <wp:docPr id="489" name="Frame4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62560" cy="175260"/>
                      <wp:effectExtent l="0" t="0" r="0" b="0"/>
                      <wp:wrapNone/>
                      <wp:docPr id="490" name="Frame48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left"/>
              <w:rPr/>
            </w:pPr>
            <w:r>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25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8,518</w:t>
            </w:r>
          </w:p>
        </w:tc>
        <w:tc>
          <w:tcPr>
            <w:tcW w:w="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19,843</w:t>
            </w:r>
          </w:p>
        </w:tc>
        <w:tc>
          <w:tcPr>
            <w:tcW w:w="256" w:type="dxa"/>
            <w:tcBorders/>
            <w:shd w:fill="CCEEFF" w:val="clear"/>
            <w:vAlign w:val="center"/>
          </w:tcPr>
          <w:p>
            <w:pPr>
              <w:pStyle w:val="TableContents"/>
              <w:bidi w:val="0"/>
              <w:spacing w:before="0" w:after="1"/>
              <w:ind w:left="0" w:right="0" w:hanging="0"/>
              <w:jc w:val="left"/>
              <w:rPr/>
            </w:pPr>
            <w:r>
              <w:rPr/>
              <w:t> </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21,654</w:t>
            </w:r>
          </w:p>
        </w:tc>
        <w:tc>
          <w:tcPr>
            <w:tcW w:w="256" w:type="dxa"/>
            <w:tcBorders/>
            <w:vAlign w:val="center"/>
          </w:tcPr>
          <w:p>
            <w:pPr>
              <w:pStyle w:val="TableContents"/>
              <w:bidi w:val="0"/>
              <w:spacing w:before="0" w:after="1"/>
              <w:ind w:left="0" w:right="0" w:hanging="0"/>
              <w:jc w:val="left"/>
              <w:rPr/>
            </w:pPr>
            <w:r>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22,003</w:t>
            </w:r>
          </w:p>
        </w:tc>
        <w:tc>
          <w:tcPr>
            <w:tcW w:w="256" w:type="dxa"/>
            <w:tcBorders/>
            <w:shd w:fill="CCEEFF" w:val="clear"/>
            <w:vAlign w:val="center"/>
          </w:tcPr>
          <w:p>
            <w:pPr>
              <w:pStyle w:val="TableContents"/>
              <w:bidi w:val="0"/>
              <w:spacing w:before="0" w:after="1"/>
              <w:ind w:left="0" w:right="0" w:hanging="0"/>
              <w:jc w:val="left"/>
              <w:rPr/>
            </w:pPr>
            <w:r>
              <w:rPr/>
              <w:t> </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29,077</w:t>
            </w:r>
          </w:p>
        </w:tc>
        <w:tc>
          <w:tcPr>
            <w:tcW w:w="256" w:type="dxa"/>
            <w:tcBorders/>
            <w:vAlign w:val="center"/>
          </w:tcPr>
          <w:p>
            <w:pPr>
              <w:pStyle w:val="TableContents"/>
              <w:bidi w:val="0"/>
              <w:spacing w:before="0" w:after="1"/>
              <w:ind w:left="0" w:right="0" w:hanging="0"/>
              <w:jc w:val="left"/>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48" w:name="Tc_NlWnYev_qUKn1xQ0mWrQaA_9_2"/>
      <w:bookmarkStart w:id="1349" w:name="Tc_o5acm2LP_0S_DmEE3h4wDA_9_0"/>
      <w:bookmarkStart w:id="1350" w:name="Tc_0DAuGzcymUydPio9gAZ4bw_8_0"/>
      <w:bookmarkStart w:id="1351" w:name="Tc_NlWnYev_qUKn1xQ0mWrQaA_9_2"/>
      <w:bookmarkStart w:id="1352" w:name="Tc_o5acm2LP_0S_DmEE3h4wDA_9_0"/>
      <w:bookmarkStart w:id="1353" w:name="Tc_0DAuGzcymUydPio9gAZ4bw_8_0"/>
      <w:bookmarkEnd w:id="1351"/>
      <w:bookmarkEnd w:id="1352"/>
      <w:bookmarkEnd w:id="1353"/>
    </w:p>
    <w:tbl>
      <w:tblPr>
        <w:tblW w:w="4593" w:type="dxa"/>
        <w:jc w:val="left"/>
        <w:tblInd w:w="0" w:type="dxa"/>
        <w:tblLayout w:type="fixed"/>
        <w:tblCellMar>
          <w:top w:w="0" w:type="dxa"/>
          <w:left w:w="0" w:type="dxa"/>
          <w:bottom w:w="0" w:type="dxa"/>
          <w:right w:w="0" w:type="dxa"/>
        </w:tblCellMar>
      </w:tblPr>
      <w:tblGrid>
        <w:gridCol w:w="3301"/>
        <w:gridCol w:w="109"/>
        <w:gridCol w:w="211"/>
        <w:gridCol w:w="781"/>
        <w:gridCol w:w="191"/>
      </w:tblGrid>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2031 - 2035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141,110</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payments for next ten fiscal years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242,205</w:t>
            </w:r>
          </w:p>
        </w:tc>
        <w:tc>
          <w:tcPr>
            <w:tcW w:w="191" w:type="dxa"/>
            <w:tcBorders/>
            <w:vAlign w:val="center"/>
          </w:tcPr>
          <w:p>
            <w:pPr>
              <w:pStyle w:val="TableContents"/>
              <w:bidi w:val="0"/>
              <w:spacing w:before="0" w:after="1"/>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estimated benefit payment for fiscal 2026 also represents the amount the Company expects to contribute to the Pension Plan for fiscal 2026.</w:t>
            </w:r>
          </w:p>
        </w:tc>
      </w:tr>
    </w:tbl>
    <w:p>
      <w:pPr>
        <w:pStyle w:val="TextBody"/>
        <w:bidi w:val="0"/>
        <w:spacing w:before="0" w:after="240"/>
        <w:ind w:left="0" w:right="0" w:hanging="0"/>
        <w:jc w:val="left"/>
        <w:rPr>
          <w:rFonts w:ascii="Times New Roman;Times;serif" w:hAnsi="Times New Roman;Times;serif"/>
          <w:b/>
          <w:sz w:val="20"/>
        </w:rPr>
      </w:pPr>
      <w:bookmarkStart w:id="1354" w:name="Tc_9oEeaS58uESKYiDSGXgltA_4_8"/>
      <w:bookmarkStart w:id="1355" w:name="Tc_1NP3S5HUHkWuOCDGMv7M3A_4_5"/>
      <w:bookmarkStart w:id="1356" w:name="Tc_xvqcY4fh_kmBa1DCC0ZTPQ_4_2"/>
      <w:bookmarkStart w:id="1357" w:name="Tc_9Tpyc7A2X06zZbUjOSJNTw_4_0"/>
      <w:bookmarkStart w:id="1358" w:name="Tc_59_dKwW4q06Dyujkp1J7Vg_3_0"/>
      <w:bookmarkStart w:id="1359" w:name="Tc_lrW4MdxPHEmSfGtV5Nyo5Q_2_8"/>
      <w:bookmarkStart w:id="1360" w:name="Tc_r6GOGOZdl0WcmPy2fKA89Q_2_5"/>
      <w:bookmarkStart w:id="1361" w:name="Tc__rJlWkPGtEWDygjbGOkd9w_2_2"/>
      <w:bookmarkStart w:id="1362" w:name="Tc_IiCcT5J1HUil1fhNixRC4A_2_0"/>
      <w:bookmarkStart w:id="1363" w:name="Tc_zyVhI-wEXU6Ipl10jyNEMA_1_8"/>
      <w:bookmarkStart w:id="1364" w:name="Tc_IrkQQnkmJUuHxH1YozX55w_1_5"/>
      <w:bookmarkStart w:id="1365" w:name="Tc_2-UPwzZhVE-bpYPrvyxKTg_1_2"/>
      <w:bookmarkStart w:id="1366" w:name="_d2dd862c_240b_4cdb_bb70_43da96093ca5"/>
      <w:bookmarkStart w:id="1367" w:name="Tc_yJcpM2wdMk28psfxGp1c7g_5_2"/>
      <w:bookmarkStart w:id="1368" w:name="Tc_Y6MlzBexq0Cb_9aoPiYdHA_5_0"/>
      <w:bookmarkStart w:id="1369" w:name="Tc_sp3SKMETqEGPV3HYlPPo4w_4_2"/>
      <w:bookmarkStart w:id="1370" w:name="Tc_9Q0NwagyGEGtNDZZawjCfA_4_0"/>
      <w:bookmarkStart w:id="1371" w:name="Tc_STzFohYOrUawnYZV6_BnHg_3_2"/>
      <w:bookmarkStart w:id="1372" w:name="Tc_UbNwTemRQkW9rGKZ2w40HA_3_0"/>
      <w:bookmarkStart w:id="1373" w:name="Tc_xINRBBtWI0KFd9YB3gpy6Q_2_5"/>
      <w:bookmarkStart w:id="1374" w:name="Tc_c3OHN-EH_ESNP8M6mE5TKg_2_2"/>
      <w:bookmarkStart w:id="1375" w:name="Tc_Yd9Xf_91skq8tf7fwDEPSQ_2_0"/>
      <w:bookmarkStart w:id="1376" w:name="Tc_xxIjNa7BckK_FWWUKgL_-Q_1_5"/>
      <w:bookmarkStart w:id="1377" w:name="Tc_sib_BJKV00SR4AK9XavHPg_1_2"/>
      <w:bookmarkStart w:id="1378" w:name="_ba7db490_e293_4701_97b9_aff683fae0e2"/>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r>
        <w:rPr>
          <w:rFonts w:ascii="Times New Roman;Times;serif" w:hAnsi="Times New Roman;Times;serif"/>
          <w:b/>
          <w:sz w:val="20"/>
        </w:rPr>
        <w:t>9.  Stockholders’ Equity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stock is comprised of the following:</w:t>
      </w:r>
    </w:p>
    <w:p>
      <w:pPr>
        <w:pStyle w:val="TextBody"/>
        <w:bidi w:val="0"/>
        <w:spacing w:before="0" w:after="0"/>
        <w:ind w:left="0" w:right="0" w:hanging="0"/>
        <w:jc w:val="left"/>
        <w:rPr/>
      </w:pPr>
      <w:r>
        <w:rPr/>
        <w:t>​</w:t>
      </w:r>
    </w:p>
    <w:tbl>
      <w:tblPr>
        <w:tblW w:w="4086" w:type="dxa"/>
        <w:jc w:val="left"/>
        <w:tblInd w:w="0" w:type="dxa"/>
        <w:tblLayout w:type="fixed"/>
        <w:tblCellMar>
          <w:top w:w="0" w:type="dxa"/>
          <w:left w:w="0" w:type="dxa"/>
          <w:bottom w:w="0" w:type="dxa"/>
          <w:right w:w="0" w:type="dxa"/>
        </w:tblCellMar>
      </w:tblPr>
      <w:tblGrid>
        <w:gridCol w:w="1531"/>
        <w:gridCol w:w="346"/>
        <w:gridCol w:w="211"/>
        <w:gridCol w:w="466"/>
        <w:gridCol w:w="346"/>
        <w:gridCol w:w="118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972185" cy="175260"/>
                      <wp:effectExtent l="0" t="0" r="0" b="0"/>
                      <wp:wrapNone/>
                      <wp:docPr id="491" name="Frame490"/>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95910" cy="175260"/>
                      <wp:effectExtent l="0" t="0" r="0" b="0"/>
                      <wp:wrapNone/>
                      <wp:docPr id="494" name="Frame49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5" name="Frame4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753110" cy="175260"/>
                      <wp:effectExtent l="0" t="0" r="0" b="0"/>
                      <wp:wrapNone/>
                      <wp:docPr id="496" name="Frame49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Type</w:t>
            </w:r>
          </w:p>
        </w:tc>
        <w:tc>
          <w:tcPr>
            <w:tcW w:w="346" w:type="dxa"/>
            <w:tcBorders/>
            <w:vAlign w:val="center"/>
          </w:tcPr>
          <w:p>
            <w:pPr>
              <w:pStyle w:val="TableContents"/>
              <w:bidi w:val="0"/>
              <w:spacing w:before="0" w:after="0"/>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Authorized</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10,000,000</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289,000,000</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11,000,000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the Company reincorporated from the state of Delaware to the state of Texas and eliminated all 5,000 shares of its 5% Cumulative Preferred Stock with a par value of $100.00 previously authorized under the Company’s Certificate of Incorporation in Delaware.  None of the 5% Cumulative Preferred Stock was outstanding at any time during fiscal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Holders of Class A Common Stock are empowered as a class to elect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-third of the members of the Board of Directors, and the holders of Class B Common Stock are empowered as a class to elect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-thirds of the members of the Board of Directors. Shares of Class B Common Stock are convertible at the option of any holder thereof into shares of Class A Common Stock at the rate of one share of Class B Common Stock for one share of Class A Common Stock.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and 2024, no shares of Class B Common Stock were converted to shares of Class A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February 2022, the Company’s Board of Directors approved a stock repurchase program authorizing the Company to repurchase up to $500 million of its Class A Common Stock (“February 2022 Stock Plan”). In May 2023, the Company’s Board of Directors approved a stock repurchase program authorizing the Company to repurchase up to $500 million of its Class A Common Stock under an open-ended plan (“May 2023 Stock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May 2023 Stock Plan permits the Company to repurchase its Class A Common Stock in the open market, pursuant to preset trading plans meeting the requirements of Rule 10b5-1 under the Securities Exchange Act of 1934, as amended, or through privately negotiated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summary of share repurchase activity for the periods indicated (in thousands, except per share data):</w:t>
      </w:r>
    </w:p>
    <w:tbl>
      <w:tblPr>
        <w:tblW w:w="6415" w:type="dxa"/>
        <w:jc w:val="left"/>
        <w:tblInd w:w="0" w:type="dxa"/>
        <w:tblLayout w:type="fixed"/>
        <w:tblCellMar>
          <w:top w:w="0" w:type="dxa"/>
          <w:left w:w="0" w:type="dxa"/>
          <w:bottom w:w="0" w:type="dxa"/>
          <w:right w:w="0" w:type="dxa"/>
        </w:tblCellMar>
      </w:tblPr>
      <w:tblGrid>
        <w:gridCol w:w="2536"/>
        <w:gridCol w:w="286"/>
        <w:gridCol w:w="211"/>
        <w:gridCol w:w="781"/>
        <w:gridCol w:w="286"/>
        <w:gridCol w:w="211"/>
        <w:gridCol w:w="781"/>
        <w:gridCol w:w="286"/>
        <w:gridCol w:w="211"/>
        <w:gridCol w:w="82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610360" cy="175260"/>
                      <wp:effectExtent l="0" t="0" r="0" b="0"/>
                      <wp:wrapNone/>
                      <wp:docPr id="497" name="Frame496"/>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81610" cy="175260"/>
                      <wp:effectExtent l="0" t="0" r="0" b="0"/>
                      <wp:wrapNone/>
                      <wp:docPr id="498" name="Frame49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3985" cy="175260"/>
                      <wp:effectExtent l="0" t="0" r="0" b="0"/>
                      <wp:wrapNone/>
                      <wp:docPr id="499" name="Frame4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95935" cy="175260"/>
                      <wp:effectExtent l="0" t="0" r="0" b="0"/>
                      <wp:wrapNone/>
                      <wp:docPr id="500" name="Frame4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81610" cy="175260"/>
                      <wp:effectExtent l="0" t="0" r="0" b="0"/>
                      <wp:wrapNone/>
                      <wp:docPr id="501" name="Frame50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95935" cy="175260"/>
                      <wp:effectExtent l="0" t="0" r="0" b="0"/>
                      <wp:wrapNone/>
                      <wp:docPr id="503" name="Frame5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81610" cy="175260"/>
                      <wp:effectExtent l="0" t="0" r="0" b="0"/>
                      <wp:wrapNone/>
                      <wp:docPr id="504" name="Frame50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24510" cy="175260"/>
                      <wp:effectExtent l="0" t="0" r="0" b="0"/>
                      <wp:wrapNone/>
                      <wp:docPr id="506" name="Frame50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286" w:type="dxa"/>
            <w:tcBorders/>
            <w:vAlign w:val="center"/>
          </w:tcPr>
          <w:p>
            <w:pPr>
              <w:pStyle w:val="TableContents"/>
              <w:bidi w:val="0"/>
              <w:spacing w:before="0" w:after="0"/>
              <w:ind w:left="0" w:right="0" w:hanging="0"/>
              <w:jc w:val="left"/>
              <w:rPr/>
            </w:pPr>
            <w:r>
              <w:rPr/>
              <w:t>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286" w:type="dxa"/>
            <w:tcBorders/>
            <w:vAlign w:val="center"/>
          </w:tcPr>
          <w:p>
            <w:pPr>
              <w:pStyle w:val="TableContents"/>
              <w:bidi w:val="0"/>
              <w:spacing w:before="0" w:after="0"/>
              <w:ind w:left="0" w:right="0" w:hanging="0"/>
              <w:jc w:val="left"/>
              <w:rPr/>
            </w:pPr>
            <w:r>
              <w:rPr/>
              <w:t>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shares repurchased</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107,752</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121,029</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281,406</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shares repurchased</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price per share</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359.16</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367.33</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306.66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All repurchases of the Company’s Class A Common Stock above were made at the market price at the trade date, and all amounts paid to reacquire these shares were allocated to treasury stock. As of January 31, 2026, the Company had completed the authorized purchases under the February 2022 Stock Plan, and $165.2 million of authorization remained under the May 2023 Stock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August 16, 2022, the Inflation Reduction Act of 2022 ("the Act") was signed into law. Under the Act share repurchases after December 31, 2022 are subject to a 1% excise tax. At January 31, 2026, the Company had accrued $1.0 million of excise tax related to its share repurchase program. </w:t>
      </w:r>
    </w:p>
    <w:p>
      <w:pPr>
        <w:pStyle w:val="TextBody"/>
        <w:bidi w:val="0"/>
        <w:spacing w:before="0" w:after="240"/>
        <w:ind w:left="0" w:right="0" w:hanging="0"/>
        <w:jc w:val="left"/>
        <w:rPr>
          <w:rFonts w:ascii="Times New Roman;Times;serif" w:hAnsi="Times New Roman;Times;serif"/>
          <w:b/>
          <w:sz w:val="20"/>
        </w:rPr>
      </w:pPr>
      <w:bookmarkStart w:id="1379" w:name="Tc_eIATomV1H0SBSxmdrbdxiw_10_5"/>
      <w:bookmarkStart w:id="1380" w:name="Tc_7BEyRb3Tk06kTsD3gHQWQA_10_2"/>
      <w:bookmarkStart w:id="1381" w:name="Tc_3fFa7Au5dUu5wediiGpCpg_10_0"/>
      <w:bookmarkStart w:id="1382" w:name="Tc__WIR4Jm-X0G6OPvTun5dWw_8_0"/>
      <w:bookmarkStart w:id="1383" w:name="Tc_m3qmPS8UwU-MTLPBbr5Oow_7_0"/>
      <w:bookmarkStart w:id="1384" w:name="Tc_P8VpUkT-IUCl-c0bzgr6YA_6_0"/>
      <w:bookmarkStart w:id="1385" w:name="Tc_ThdWaS8uA0KnFy5ys0FO7w_4_5"/>
      <w:bookmarkStart w:id="1386" w:name="Tc_18DigMNTvE-YGPl-QTP_fQ_4_2"/>
      <w:bookmarkStart w:id="1387" w:name="Tc_RI2qinpEOEe46JgsyUXgZg_4_0"/>
      <w:bookmarkStart w:id="1388" w:name="Tc_FkaypRp0FUGfzPP4SdZzNQ_3_5"/>
      <w:bookmarkStart w:id="1389" w:name="Tc_E1buvlP4_0yrlIkddbv8mA_3_2"/>
      <w:bookmarkStart w:id="1390" w:name="Tc_kS3fYy83ckGpQjKXiKvTNA_2_2"/>
      <w:bookmarkStart w:id="1391" w:name="Tc_kgEvy32-f0qlQsjo27VhqA_1_2"/>
      <w:bookmarkStart w:id="1392" w:name="_e3861fbc_8a92_44a5_bd14_3e4d5928fc82"/>
      <w:bookmarkStart w:id="1393" w:name="Tc_BKJWekqHQ0qG8ZptfUk4Ow_8_8"/>
      <w:bookmarkStart w:id="1394" w:name="Tc_91C2bic72k69qaRcU1qkmg_8_5"/>
      <w:bookmarkStart w:id="1395" w:name="Tc_4alrY9dE40GdpwyyUotzVg_8_2"/>
      <w:bookmarkStart w:id="1396" w:name="Tc_bIRVFUXzgUWAJ6j78sVvvg_7_8"/>
      <w:bookmarkStart w:id="1397" w:name="Tc_juhi-ktWjku7HF1iZnGAFg_6_8"/>
      <w:bookmarkStart w:id="1398" w:name="Tc_NikmPN-Y8E6MQramNDDiuA_6_5"/>
      <w:bookmarkStart w:id="1399" w:name="Tc_QlYGJuSrN0GfLyEZ-LoH9A_6_2"/>
      <w:bookmarkStart w:id="1400" w:name="Tc_cbr199HtiEOOy7m4AUWRfg_6_0"/>
      <w:bookmarkStart w:id="1401" w:name="Tc_V_TATZhXbUaZCSo9yKMhSA_5_0"/>
      <w:bookmarkStart w:id="1402" w:name="Tc_H1db6ZTe1EuMw-HSUsgiYA_4_8"/>
      <w:bookmarkStart w:id="1403" w:name="Tc_OMre4uXMVUqvhkmGUwdiwA_4_5"/>
      <w:bookmarkStart w:id="1404" w:name="Tc_L2NVO9xxGkK9jVi9YbW1bA_4_2"/>
      <w:bookmarkStart w:id="1405" w:name="Tc_fXB4zPBDQEmvJjF_UyDtjA_4_0"/>
      <w:bookmarkStart w:id="1406" w:name="Tc_3fPQwAVOSkibUbMUK8WTLQ_3_8"/>
      <w:bookmarkStart w:id="1407" w:name="Tc_6W55IEEu9UKBqE29YeKcFA_3_3"/>
      <w:bookmarkStart w:id="1408" w:name="Tc_okzfTwJ6OUuZtp5uyOKfJQ_2_8"/>
      <w:bookmarkStart w:id="1409" w:name="Tc_uGkanXueeESS1SnIGGHBlA_2_3"/>
      <w:bookmarkStart w:id="1410" w:name="Tc_nfgMDj4-BE69sEa7t5iYcw_1_3"/>
      <w:bookmarkStart w:id="1411" w:name="_1b4f8b21_59a8_4305_be4b_d5d44b56951c"/>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r>
        <w:rPr>
          <w:rFonts w:ascii="Times New Roman;Times;serif" w:hAnsi="Times New Roman;Times;serif"/>
          <w:b/>
          <w:sz w:val="20"/>
        </w:rPr>
        <w:t>10.  Accumulated Other Comprehensive Loss (“AOCL”)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Reclassifications from AOCL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Reclassifications from AOCL are summarized as follows (in thousands):</w:t>
      </w:r>
    </w:p>
    <w:tbl>
      <w:tblPr>
        <w:tblW w:w="8660" w:type="dxa"/>
        <w:jc w:val="left"/>
        <w:tblInd w:w="0" w:type="dxa"/>
        <w:tblLayout w:type="fixed"/>
        <w:tblCellMar>
          <w:top w:w="0" w:type="dxa"/>
          <w:left w:w="0" w:type="dxa"/>
          <w:bottom w:w="0" w:type="dxa"/>
          <w:right w:w="0" w:type="dxa"/>
        </w:tblCellMar>
      </w:tblPr>
      <w:tblGrid>
        <w:gridCol w:w="2986"/>
        <w:gridCol w:w="346"/>
        <w:gridCol w:w="251"/>
        <w:gridCol w:w="679"/>
        <w:gridCol w:w="346"/>
        <w:gridCol w:w="251"/>
        <w:gridCol w:w="679"/>
        <w:gridCol w:w="346"/>
        <w:gridCol w:w="277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896110" cy="175260"/>
                      <wp:effectExtent l="0" t="0" r="0" b="0"/>
                      <wp:wrapNone/>
                      <wp:docPr id="507" name="Frame506"/>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59385" cy="175260"/>
                      <wp:effectExtent l="0" t="0" r="0" b="0"/>
                      <wp:wrapNone/>
                      <wp:docPr id="509" name="Frame50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31165" cy="175260"/>
                      <wp:effectExtent l="0" t="0" r="0" b="0"/>
                      <wp:wrapNone/>
                      <wp:docPr id="510" name="Frame509"/>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59385" cy="175260"/>
                      <wp:effectExtent l="0" t="0" r="0" b="0"/>
                      <wp:wrapNone/>
                      <wp:docPr id="512" name="Frame51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31165" cy="175260"/>
                      <wp:effectExtent l="0" t="0" r="0" b="0"/>
                      <wp:wrapNone/>
                      <wp:docPr id="513" name="Frame512"/>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4" name="Frame5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762760" cy="175260"/>
                      <wp:effectExtent l="0" t="0" r="0" b="0"/>
                      <wp:wrapNone/>
                      <wp:docPr id="515" name="Frame514"/>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1" w:type="dxa"/>
            <w:tcBorders/>
            <w:vAlign w:val="center"/>
          </w:tcPr>
          <w:p>
            <w:pPr>
              <w:pStyle w:val="TableContents"/>
              <w:bidi w:val="0"/>
              <w:spacing w:before="0" w:after="1"/>
              <w:ind w:left="0" w:right="0" w:hanging="0"/>
              <w:jc w:val="center"/>
              <w:rPr/>
            </w:pPr>
            <w:r>
              <w:rPr/>
              <w:t>​</w:t>
            </w:r>
          </w:p>
        </w:tc>
        <w:tc>
          <w:tcPr>
            <w:tcW w:w="1955"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pPr>
            <w:r>
              <w:rPr/>
              <w:t>​</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1" w:type="dxa"/>
            <w:tcBorders/>
            <w:vAlign w:val="center"/>
          </w:tcPr>
          <w:p>
            <w:pPr>
              <w:pStyle w:val="TableContents"/>
              <w:bidi w:val="0"/>
              <w:spacing w:before="0" w:after="1"/>
              <w:ind w:left="0" w:right="0" w:hanging="0"/>
              <w:jc w:val="center"/>
              <w:rPr/>
            </w:pPr>
            <w:r>
              <w:rPr/>
              <w:t>​</w:t>
            </w:r>
          </w:p>
        </w:tc>
        <w:tc>
          <w:tcPr>
            <w:tcW w:w="1955"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w:t>
            </w:r>
          </w:p>
        </w:tc>
        <w:tc>
          <w:tcPr>
            <w:tcW w:w="34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Affected Line Item in the Statement </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95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from AOCL</w:t>
            </w:r>
          </w:p>
        </w:tc>
        <w:tc>
          <w:tcPr>
            <w:tcW w:w="346" w:type="dxa"/>
            <w:tcBorders/>
            <w:vAlign w:val="center"/>
          </w:tcPr>
          <w:p>
            <w:pPr>
              <w:pStyle w:val="TableContents"/>
              <w:bidi w:val="0"/>
              <w:spacing w:before="0" w:after="1"/>
              <w:ind w:left="0" w:right="0" w:hanging="0"/>
              <w:jc w:val="center"/>
              <w:rPr/>
            </w:pPr>
            <w:r>
              <w:rPr/>
              <w:t>​</w:t>
            </w:r>
          </w:p>
        </w:tc>
        <w:tc>
          <w:tcPr>
            <w:tcW w:w="27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Where Net Income Is</w:t>
            </w:r>
          </w:p>
        </w:tc>
      </w:tr>
      <w:tr>
        <w:trPr/>
        <w:tc>
          <w:tcPr>
            <w:tcW w:w="29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Details about AOCL Components</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1"/>
              <w:ind w:left="0" w:right="0" w:hanging="0"/>
              <w:jc w:val="center"/>
              <w:rPr/>
            </w:pPr>
            <w:r>
              <w:rPr/>
              <w:t>  ​ ​ ​</w:t>
            </w:r>
          </w:p>
        </w:tc>
        <w:tc>
          <w:tcPr>
            <w:tcW w:w="27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Presented</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Defined benefit pension plan items</w:t>
            </w:r>
          </w:p>
        </w:tc>
        <w:tc>
          <w:tcPr>
            <w:tcW w:w="346" w:type="dxa"/>
            <w:tcBorders/>
            <w:shd w:fill="CCEEFF" w:val="clear"/>
            <w:vAlign w:val="center"/>
          </w:tcPr>
          <w:p>
            <w:pPr>
              <w:pStyle w:val="TableContents"/>
              <w:bidi w:val="0"/>
              <w:spacing w:before="0" w:after="1"/>
              <w:ind w:left="0" w:right="0" w:hanging="0"/>
              <w:jc w:val="left"/>
              <w:rPr/>
            </w:pPr>
            <w:r>
              <w:rPr/>
              <w:t> </w:t>
            </w:r>
          </w:p>
        </w:tc>
        <w:tc>
          <w:tcPr>
            <w:tcW w:w="251" w:type="dxa"/>
            <w:tcBorders/>
            <w:shd w:fill="CCEEFF" w:val="clear"/>
            <w:vAlign w:val="center"/>
          </w:tcPr>
          <w:p>
            <w:pPr>
              <w:pStyle w:val="TableContents"/>
              <w:bidi w:val="0"/>
              <w:spacing w:before="0" w:after="1"/>
              <w:ind w:left="0" w:right="0" w:hanging="0"/>
              <w:jc w:val="right"/>
              <w:rPr/>
            </w:pPr>
            <w:r>
              <w:rPr/>
              <w:t>​</w:t>
            </w:r>
          </w:p>
        </w:tc>
        <w:tc>
          <w:tcPr>
            <w:tcW w:w="6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1" w:type="dxa"/>
            <w:tcBorders/>
            <w:shd w:fill="CCEEFF" w:val="clear"/>
            <w:vAlign w:val="center"/>
          </w:tcPr>
          <w:p>
            <w:pPr>
              <w:pStyle w:val="TableContents"/>
              <w:bidi w:val="0"/>
              <w:spacing w:before="0" w:after="1"/>
              <w:ind w:left="0" w:right="0" w:hanging="0"/>
              <w:jc w:val="right"/>
              <w:rPr/>
            </w:pPr>
            <w:r>
              <w:rPr/>
              <w:t>​</w:t>
            </w:r>
          </w:p>
        </w:tc>
        <w:tc>
          <w:tcPr>
            <w:tcW w:w="6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776" w:type="dxa"/>
            <w:tcBorders/>
            <w:shd w:fill="CCEEFF" w:val="clear"/>
            <w:vAlign w:val="center"/>
          </w:tcPr>
          <w:p>
            <w:pPr>
              <w:pStyle w:val="TableContents"/>
              <w:bidi w:val="0"/>
              <w:spacing w:before="0" w:after="1"/>
              <w:ind w:left="0" w:right="0" w:hanging="0"/>
              <w:jc w:val="right"/>
              <w:rPr/>
            </w:pPr>
            <w:r>
              <w:rPr/>
              <w:t>  ​</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actuarial losses</w:t>
            </w:r>
          </w:p>
        </w:tc>
        <w:tc>
          <w:tcPr>
            <w:tcW w:w="346" w:type="dxa"/>
            <w:tcBorders/>
            <w:vAlign w:val="center"/>
          </w:tcPr>
          <w:p>
            <w:pPr>
              <w:pStyle w:val="TableContents"/>
              <w:bidi w:val="0"/>
              <w:spacing w:before="0" w:after="1"/>
              <w:ind w:left="0" w:right="0" w:hanging="0"/>
              <w:jc w:val="left"/>
              <w:rPr/>
            </w:pPr>
            <w:r>
              <w:rPr/>
              <w:t> </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3,716</w:t>
            </w:r>
          </w:p>
        </w:tc>
        <w:tc>
          <w:tcPr>
            <w:tcW w:w="346" w:type="dxa"/>
            <w:tcBorders/>
            <w:vAlign w:val="center"/>
          </w:tcPr>
          <w:p>
            <w:pPr>
              <w:pStyle w:val="TableContents"/>
              <w:bidi w:val="0"/>
              <w:spacing w:before="0" w:after="1"/>
              <w:ind w:left="0" w:right="0" w:hanging="0"/>
              <w:jc w:val="left"/>
              <w:rPr/>
            </w:pPr>
            <w:r>
              <w:rPr/>
              <w:t> </w:t>
            </w:r>
          </w:p>
        </w:tc>
        <w:tc>
          <w:tcPr>
            <w:tcW w:w="2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8,731</w:t>
            </w:r>
          </w:p>
        </w:tc>
        <w:tc>
          <w:tcPr>
            <w:tcW w:w="346" w:type="dxa"/>
            <w:tcBorders/>
            <w:vAlign w:val="center"/>
          </w:tcPr>
          <w:p>
            <w:pPr>
              <w:pStyle w:val="TableContents"/>
              <w:bidi w:val="0"/>
              <w:spacing w:before="0" w:after="1"/>
              <w:ind w:left="0" w:right="0" w:hanging="0"/>
              <w:jc w:val="left"/>
              <w:rPr/>
            </w:pPr>
            <w:r>
              <w:rPr/>
              <w:t> </w:t>
            </w:r>
          </w:p>
        </w:tc>
        <w:tc>
          <w:tcPr>
            <w:tcW w:w="27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before tax </w:t>
            </w:r>
            <w:r>
              <w:rPr>
                <w:rFonts w:ascii="Times New Roman;Times;serif" w:hAnsi="Times New Roman;Times;serif"/>
                <w:sz w:val="15"/>
              </w:rPr>
              <w:t>(1)</w:t>
            </w:r>
          </w:p>
        </w:tc>
      </w:tr>
      <w:tr>
        <w:trPr/>
        <w:tc>
          <w:tcPr>
            <w:tcW w:w="29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shd w:fill="CCEEFF" w:val="clear"/>
            <w:vAlign w:val="center"/>
          </w:tcPr>
          <w:p>
            <w:pPr>
              <w:pStyle w:val="TableContents"/>
              <w:bidi w:val="0"/>
              <w:spacing w:before="0" w:after="1"/>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w:t>
            </w:r>
          </w:p>
        </w:tc>
        <w:tc>
          <w:tcPr>
            <w:tcW w:w="346" w:type="dxa"/>
            <w:tcBorders/>
            <w:shd w:fill="CCEEFF" w:val="clear"/>
            <w:vAlign w:val="center"/>
          </w:tcPr>
          <w:p>
            <w:pPr>
              <w:pStyle w:val="TableContents"/>
              <w:bidi w:val="0"/>
              <w:spacing w:before="0" w:after="1"/>
              <w:ind w:left="0" w:right="0" w:hanging="0"/>
              <w:jc w:val="left"/>
              <w:rPr/>
            </w:pPr>
            <w:r>
              <w:rPr/>
              <w:t> </w:t>
            </w:r>
          </w:p>
        </w:tc>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3,232</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7,776</w:t>
            </w:r>
          </w:p>
        </w:tc>
        <w:tc>
          <w:tcPr>
            <w:tcW w:w="346" w:type="dxa"/>
            <w:tcBorders/>
            <w:vAlign w:val="center"/>
          </w:tcPr>
          <w:p>
            <w:pPr>
              <w:pStyle w:val="TableContents"/>
              <w:bidi w:val="0"/>
              <w:spacing w:before="0" w:after="1"/>
              <w:ind w:left="0" w:right="0" w:hanging="0"/>
              <w:jc w:val="left"/>
              <w:rPr/>
            </w:pPr>
            <w:r>
              <w:rPr/>
              <w:t> </w:t>
            </w:r>
          </w:p>
        </w:tc>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of tax</w:t>
            </w:r>
          </w:p>
        </w:tc>
      </w:tr>
    </w:tbl>
    <w:tbl>
      <w:tblPr>
        <w:tblW w:w="9257" w:type="dxa"/>
        <w:jc w:val="left"/>
        <w:tblInd w:w="0" w:type="dxa"/>
        <w:tblLayout w:type="fixed"/>
        <w:tblCellMar>
          <w:top w:w="0" w:type="dxa"/>
          <w:left w:w="0" w:type="dxa"/>
          <w:bottom w:w="0" w:type="dxa"/>
          <w:right w:w="0" w:type="dxa"/>
        </w:tblCellMar>
      </w:tblPr>
      <w:tblGrid>
        <w:gridCol w:w="346"/>
        <w:gridCol w:w="89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is included in the computation of net periodic benefit costs. See Note 8 for additional information.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AOCL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AOCL by component (net of tax) are summarized as follows (in thousands):</w:t>
      </w:r>
    </w:p>
    <w:tbl>
      <w:tblPr>
        <w:tblW w:w="7550" w:type="dxa"/>
        <w:jc w:val="left"/>
        <w:tblInd w:w="0" w:type="dxa"/>
        <w:tblLayout w:type="fixed"/>
        <w:tblCellMar>
          <w:top w:w="0" w:type="dxa"/>
          <w:left w:w="0" w:type="dxa"/>
          <w:bottom w:w="0" w:type="dxa"/>
          <w:right w:w="0" w:type="dxa"/>
        </w:tblCellMar>
      </w:tblPr>
      <w:tblGrid>
        <w:gridCol w:w="4876"/>
        <w:gridCol w:w="346"/>
        <w:gridCol w:w="217"/>
        <w:gridCol w:w="713"/>
        <w:gridCol w:w="346"/>
        <w:gridCol w:w="211"/>
        <w:gridCol w:w="841"/>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096260" cy="175260"/>
                      <wp:effectExtent l="0" t="0" r="0" b="0"/>
                      <wp:wrapNone/>
                      <wp:docPr id="516" name="Frame515"/>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19710" cy="175260"/>
                      <wp:effectExtent l="0" t="0" r="0" b="0"/>
                      <wp:wrapNone/>
                      <wp:docPr id="517"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37795" cy="175260"/>
                      <wp:effectExtent l="0" t="0" r="0" b="0"/>
                      <wp:wrapNone/>
                      <wp:docPr id="518" name="Frame51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452755" cy="175260"/>
                      <wp:effectExtent l="0" t="0" r="0" b="0"/>
                      <wp:wrapNone/>
                      <wp:docPr id="519" name="Frame518"/>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20"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33985" cy="175260"/>
                      <wp:effectExtent l="0" t="0" r="0" b="0"/>
                      <wp:wrapNone/>
                      <wp:docPr id="521" name="Frame5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534035" cy="175260"/>
                      <wp:effectExtent l="0" t="0" r="0" b="0"/>
                      <wp:wrapNone/>
                      <wp:docPr id="522" name="Frame52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Defined Benefit</w: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Plan Items</w: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87,208</w: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before reclassifications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(29,581)</w:t>
            </w:r>
          </w:p>
        </w:tc>
      </w:tr>
      <w:tr>
        <w:trPr/>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AOCL</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(37,357)</w:t>
            </w:r>
          </w:p>
        </w:tc>
      </w:tr>
      <w:tr>
        <w:trPr/>
        <w:tc>
          <w:tcPr>
            <w:tcW w:w="4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49,851</w:t>
            </w:r>
          </w:p>
        </w:tc>
      </w:tr>
    </w:tbl>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Times New Roman;Times;serif" w:hAnsi="Times New Roman;Times;serif"/>
                <w:sz w:val="2"/>
              </w:rPr>
            </w:pPr>
            <w:r>
              <w:rPr>
                <w:rFonts w:ascii="Times New Roman;Times;serif" w:hAnsi="Times New Roman;Times;serif"/>
                <w:sz w:val="2"/>
              </w:rPr>
              <w:t>1.</w:t>
            </w:r>
          </w:p>
        </w:tc>
        <w:tc>
          <w:tcPr>
            <w:tcW w:w="154" w:type="dxa"/>
            <w:tcBorders/>
            <w:vAlign w:val="center"/>
          </w:tcPr>
          <w:p>
            <w:pPr>
              <w:pStyle w:val="TableContents"/>
              <w:bidi w:val="0"/>
              <w:spacing w:before="0" w:after="283"/>
              <w:jc w:val="left"/>
              <w:rPr>
                <w:sz w:val="4"/>
                <w:szCs w:val="4"/>
              </w:rPr>
            </w:pPr>
            <w:r>
              <w:rPr>
                <w:sz w:val="4"/>
                <w:szCs w:val="4"/>
              </w:rPr>
            </w:r>
          </w:p>
        </w:tc>
      </w:tr>
    </w:tbl>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Times New Roman;Times;serif" w:hAnsi="Times New Roman;Times;serif"/>
                <w:sz w:val="2"/>
              </w:rPr>
            </w:pPr>
            <w:r>
              <w:rPr>
                <w:rFonts w:ascii="Times New Roman;Times;serif" w:hAnsi="Times New Roman;Times;serif"/>
                <w:sz w:val="2"/>
              </w:rPr>
              <w:t>2.</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rFonts w:ascii="Times New Roman;Times;serif" w:hAnsi="Times New Roman;Times;serif"/>
          <w:b/>
          <w:sz w:val="20"/>
        </w:rPr>
      </w:pPr>
      <w:bookmarkStart w:id="1412" w:name="Tc_CSZkuiELbEaoYZUYIugaVg_8_17"/>
      <w:bookmarkStart w:id="1413" w:name="Tc_rEqeJq0b40-TgUlwNGPCVA_8_14"/>
      <w:bookmarkStart w:id="1414" w:name="Tc_xd_eussUK0mTECx9p7QkbQ_8_11"/>
      <w:bookmarkStart w:id="1415" w:name="Tc_sWcfV0zlzk2EDRsh-H82nw_8_8"/>
      <w:bookmarkStart w:id="1416" w:name="Tc_a20DcnaMLEyfxSjHhmAh8g_8_5"/>
      <w:bookmarkStart w:id="1417" w:name="Tc_f6kFINxNykCxMwlq7kysmw_8_2"/>
      <w:bookmarkStart w:id="1418" w:name="Tc_W_8uomMvmU-QWh-ftpemTQ_8_0"/>
      <w:bookmarkStart w:id="1419" w:name="Tc_KvQM_fYFsUiCVHvc48rOmw_7_0"/>
      <w:bookmarkStart w:id="1420" w:name="Tc_quyzOtk8_kaqVgKwc8XKVw_6_0"/>
      <w:bookmarkStart w:id="1421" w:name="Tc_aNgS59swW0uvUh-ltz8s7w_5_18"/>
      <w:bookmarkStart w:id="1422" w:name="Tc_N0p5szOvmUSSje7eXAtHZA_5_15"/>
      <w:bookmarkStart w:id="1423" w:name="Tc_RxuouxsJgUKhZSaqUvwZ8g_5_12"/>
      <w:bookmarkStart w:id="1424" w:name="Tc_xQ4jCZ3zB0W5G-aIrjbBDg_5_9"/>
      <w:bookmarkStart w:id="1425" w:name="Tc_Ya7gb3pIjkmdZmDXi88vCQ_5_6"/>
      <w:bookmarkStart w:id="1426" w:name="Tc_ULj5p_keh02sY3wGsF146w_5_3"/>
      <w:bookmarkStart w:id="1427" w:name="Tc_NYKRVTBRFEGnkbLa-WTN_g_5_0"/>
      <w:bookmarkStart w:id="1428" w:name="Tc_MmowJF2gZ0u9j3aLDCpc1w_4_0"/>
      <w:bookmarkStart w:id="1429" w:name="Tc_9qdya6nix0OIZl3saYXRMA_3_17"/>
      <w:bookmarkStart w:id="1430" w:name="Tc_atYXGomCkUSE1jYb1fcwyw_3_14"/>
      <w:bookmarkStart w:id="1431" w:name="Tc_82G_qKWmEEWCaYfbvPrkmQ_3_11"/>
      <w:bookmarkStart w:id="1432" w:name="Tc_8b9APAggIUeLTihMxUpKag_3_8"/>
      <w:bookmarkStart w:id="1433" w:name="Tc_vAbYu3koB0GFF925IEAB6Q_3_5"/>
      <w:bookmarkStart w:id="1434" w:name="Tc_WoDW-z27xUeGoD29Bw8Atw_3_2"/>
      <w:bookmarkStart w:id="1435" w:name="Tc_rLwU_oKgcUG90swu-bethQ_3_0"/>
      <w:bookmarkStart w:id="1436" w:name="Tc_bkbyL4dtjUiPS_6e8ooiRw_2_17"/>
      <w:bookmarkStart w:id="1437" w:name="Tc_GYtPdWY2vEOwZJ9uPApZHg_2_14"/>
      <w:bookmarkStart w:id="1438" w:name="Tc_8QKjWCeJOkK60cHaNzIOWg_2_11"/>
      <w:bookmarkStart w:id="1439" w:name="Tc_NwPORB_jK0mRdvgG_ZA9bQ_2_8"/>
      <w:bookmarkStart w:id="1440" w:name="Tc_0jVK3nUjyEGHQnCCwV3AFg_2_5"/>
      <w:bookmarkStart w:id="1441" w:name="Tc_xJTLi501wU2b55uNmX4gIQ_2_2"/>
      <w:bookmarkStart w:id="1442" w:name="Tc_5CIeTlMZt0StDb1PC4ZPaQ_2_0"/>
      <w:bookmarkStart w:id="1443" w:name="Tc_QloQduHhQUKMxzunWxESuA_1_14"/>
      <w:bookmarkStart w:id="1444" w:name="Tc_0fbD3ghq3ES6yG7CFkC4Vg_1_8"/>
      <w:bookmarkStart w:id="1445" w:name="Tc_V85Ec2Ps8kyBMHso7QWlxg_1_2"/>
      <w:bookmarkStart w:id="1446" w:name="_4655fd2f_66e7_4aa4_a4ea_bfedd9487576"/>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r>
        <w:rPr>
          <w:rFonts w:ascii="Times New Roman;Times;serif" w:hAnsi="Times New Roman;Times;serif"/>
          <w:b/>
          <w:sz w:val="20"/>
        </w:rPr>
        <w:t>11.  Earnings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earnings per share has been computed based upon the weighted average of Class A and Class B common shares outstanding. As no stock options or other dilutive securities were outstanding during any of the respective periods, the calculation of basic and dilutive earnings per share are the same.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Earnings per common share has been computed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32"/>
        <w:gridCol w:w="346"/>
        <w:gridCol w:w="211"/>
        <w:gridCol w:w="781"/>
        <w:gridCol w:w="346"/>
        <w:gridCol w:w="211"/>
        <w:gridCol w:w="781"/>
        <w:gridCol w:w="346"/>
        <w:gridCol w:w="211"/>
        <w:gridCol w:w="781"/>
        <w:gridCol w:w="346"/>
        <w:gridCol w:w="211"/>
        <w:gridCol w:w="781"/>
        <w:gridCol w:w="346"/>
        <w:gridCol w:w="211"/>
        <w:gridCol w:w="781"/>
        <w:gridCol w:w="346"/>
        <w:gridCol w:w="211"/>
        <w:gridCol w:w="826"/>
      </w:tblGrid>
      <w:tr>
        <w:trPr/>
        <w:tc>
          <w:tcPr>
            <w:tcW w:w="2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53820" cy="175260"/>
                      <wp:effectExtent l="0" t="0" r="0" b="0"/>
                      <wp:wrapNone/>
                      <wp:docPr id="523" name="Frame522"/>
                      <a:graphic xmlns:a="http://schemas.openxmlformats.org/drawingml/2006/main">
                        <a:graphicData uri="http://schemas.microsoft.com/office/word/2010/wordprocessingShape">
                          <wps:wsp>
                            <wps:cNvSpPr txBox="1"/>
                            <wps:spPr>
                              <a:xfrm>
                                <a:off x="0" y="0"/>
                                <a:ext cx="1353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24"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95935" cy="175260"/>
                      <wp:effectExtent l="0" t="0" r="0" b="0"/>
                      <wp:wrapNone/>
                      <wp:docPr id="526" name="Frame5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9710" cy="175260"/>
                      <wp:effectExtent l="0" t="0" r="0" b="0"/>
                      <wp:wrapNone/>
                      <wp:docPr id="527"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95935" cy="175260"/>
                      <wp:effectExtent l="0" t="0" r="0" b="0"/>
                      <wp:wrapNone/>
                      <wp:docPr id="529" name="Frame5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19710" cy="175260"/>
                      <wp:effectExtent l="0" t="0" r="0" b="0"/>
                      <wp:wrapNone/>
                      <wp:docPr id="530" name="Frame5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33985" cy="175260"/>
                      <wp:effectExtent l="0" t="0" r="0" b="0"/>
                      <wp:wrapNone/>
                      <wp:docPr id="531" name="Frame5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95935" cy="175260"/>
                      <wp:effectExtent l="0" t="0" r="0" b="0"/>
                      <wp:wrapNone/>
                      <wp:docPr id="532" name="Frame5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3"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33985" cy="175260"/>
                      <wp:effectExtent l="0" t="0" r="0" b="0"/>
                      <wp:wrapNone/>
                      <wp:docPr id="534" name="Frame5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95935" cy="175260"/>
                      <wp:effectExtent l="0" t="0" r="0" b="0"/>
                      <wp:wrapNone/>
                      <wp:docPr id="535" name="Frame5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36"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7"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95935" cy="175260"/>
                      <wp:effectExtent l="0" t="0" r="0" b="0"/>
                      <wp:wrapNone/>
                      <wp:docPr id="538" name="Frame5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9"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40" name="Frame5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524510" cy="175260"/>
                      <wp:effectExtent l="0" t="0" r="0" b="0"/>
                      <wp:wrapNone/>
                      <wp:docPr id="541" name="Frame54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1"/>
              <w:ind w:left="0" w:right="0" w:hanging="0"/>
              <w:jc w:val="center"/>
              <w:rPr/>
            </w:pPr>
            <w:r>
              <w:rPr/>
              <w:t>  ​ ​ ​</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1"/>
              <w:ind w:left="0" w:right="0" w:hanging="0"/>
              <w:jc w:val="center"/>
              <w:rPr/>
            </w:pPr>
            <w:r>
              <w:rPr/>
              <w:t>  ​ ​ ​</w:t>
            </w:r>
          </w:p>
        </w:tc>
        <w:tc>
          <w:tcPr>
            <w:tcW w:w="23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213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Basic</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Diluted</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Basic</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Diluted</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Basic</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Diluted</w:t>
            </w:r>
          </w:p>
        </w:tc>
      </w:tr>
      <w:tr>
        <w:trPr/>
        <w:tc>
          <w:tcPr>
            <w:tcW w:w="2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earnings available for per-share calculation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570,187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570,187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593,476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593,476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738,847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738,847</w:t>
            </w:r>
          </w:p>
        </w:tc>
      </w:tr>
      <w:tr>
        <w:trPr/>
        <w:tc>
          <w:tcPr>
            <w:tcW w:w="2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shares of common stock outstanding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16,517</w:t>
            </w:r>
          </w:p>
        </w:tc>
      </w:tr>
      <w:tr>
        <w:trPr/>
        <w:tc>
          <w:tcPr>
            <w:tcW w:w="2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average equivalent shares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16,517</w:t>
            </w:r>
          </w:p>
        </w:tc>
      </w:tr>
      <w:tr>
        <w:trPr/>
        <w:tc>
          <w:tcPr>
            <w:tcW w:w="2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 share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2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44.73</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Commitments and 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January 31, 2026, the Company is committed to incur costs of approximately $1.1 million to acquire, complete and furnish certain stores and equipment.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January 31, 2026, letters of credit totaling $25.3 million were issued under the Company’s $800 million revolving credit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Various legal proceedings, in the form of lawsuits and claims, which occur in the normal course of business, are pending against the Company and its subsidiaries. In the opinion of management, disposition of these matters is not expected to materially affect the Company’s financial position, cash flows or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leases retail stores, office space and equipment under operating leases. As of January 31, 2026, right-of-use operating lease assets, which are recorded in operating lease assets in the consolidated balance sheets, totaled $36.2 million, and operating lease liabilities, which are recorded in current portion of operating lease liabilities and operating lease liabilities, totaled $35.9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determining our operating lease assets and operating lease liabilities, we apply an incremental borrowing rate to the minimum lease payments within each lease agreement. GAAP requires the use of the rate implicit in the lease whenever that rate is readily determinable; furthermore, if the implicit rate is not readily determinable, a lessee may use its incremental borrowing rate. The incremental borrowing rate is the rate of interest that a lessee would have to pay to borrow on a collateralized basis over a similar term an amount equal to the lease payments in a similar economic environment. To estimate our specific incremental borrowing rates that align with applicable lease terms, we utilized a model consistent with the credit quality of our outstanding debt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Renewal options of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10 years exist on the majority of leased properties. The Company has sole discretion in exercising the lease renewal options. We do not recognize operating lease assets or operating lease liabilities at lease inception for renewal periods unless it has been determined that we are reasonably certain of exercising the renewal options. The depreciable life of operating lease assets and related leasehold improvements is limited by the expected lease term.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Contingent rentals on certain leases are based on a percentage of annual sales in excess of specified amounts. Other contingent rentals are based entirely on a percentage of sales. The Company’s operating lease agreements do not contain any material residual value guarantees or material restrictive covenants.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447" w:name="Tc_XUblRtISI0q-mhD7QCSY3A_5_8"/>
      <w:bookmarkStart w:id="1448" w:name="Tc_NJ69yjrQ5keFToxd0lt7yQ_5_5"/>
      <w:bookmarkStart w:id="1449" w:name="Tc_T6DXMJYfrEy0MafotVH1SA_5_2"/>
      <w:bookmarkStart w:id="1450" w:name="Tc_n-W_Yqt64Em1wiRJ2sM_aA_5_0"/>
      <w:bookmarkStart w:id="1451" w:name="Tc_mvMx9iRAM0CmsKBjgvgj0w_3_8"/>
      <w:bookmarkStart w:id="1452" w:name="Tc_pcUcmTCQ7U69aYtBJVFnmg_3_5"/>
      <w:bookmarkStart w:id="1453" w:name="Tc_jOQHebTOkUCXaj5uHJUS4A_3_2"/>
      <w:bookmarkStart w:id="1454" w:name="Tc_74y6QLU0LUW0_zErULohdw_3_0"/>
      <w:bookmarkStart w:id="1455" w:name="Tc_qxsibKUe4UurCw7vcPyCDw_2_0"/>
      <w:bookmarkStart w:id="1456" w:name="Tc_HYH4i0DSSUuPlsVCBHPvTg_1_8"/>
      <w:bookmarkStart w:id="1457" w:name="Tc_33BxHcfQMEiQcyi8navccw_1_5"/>
      <w:bookmarkStart w:id="1458" w:name="Tc_rRC5BKWX3kCJ9sPVsww_ww_1_2"/>
      <w:bookmarkStart w:id="1459" w:name="Tc_vB9UaoUPw06hWaOPMay_Ow_1_0"/>
      <w:bookmarkStart w:id="1460" w:name="Tc_HRgiBpP8t0WFskJ1gaz7gw_5_7"/>
      <w:bookmarkStart w:id="1461" w:name="Tc_nkI3pr5jU0iatvKsND3erA_5_5"/>
      <w:bookmarkStart w:id="1462" w:name="Tc_8ZjQXzaF3EKSczfwL6489A_5_3"/>
      <w:bookmarkStart w:id="1463" w:name="Tc_LUuxOGpRo02_zENZANbFCA_5_0"/>
      <w:bookmarkStart w:id="1464" w:name="Tc_CSy3QvwiHkmCzaElCeUObg_4_0"/>
      <w:bookmarkStart w:id="1465" w:name="Tc_P2qn2DABbEyu-TUiZ8lwZg_3_0"/>
      <w:bookmarkStart w:id="1466" w:name="Tc_hKE8qeOqVEW9Hc3zt4nmDg_2_0"/>
      <w:bookmarkStart w:id="1467" w:name="Tc_ZoWK1oYOskeRfH1CpEfXHg_1_6"/>
      <w:bookmarkStart w:id="1468" w:name="Tc_9TgpQtWS_USZ-kW-OnMGsQ_1_4"/>
      <w:bookmarkStart w:id="1469" w:name="Tc_rE_bbEN81UG9Y9NIAaCxDA_1_2"/>
      <w:bookmarkStart w:id="1470" w:name="Tc_U3p39MUFaUyKfA89gGeo8Q_12_2"/>
      <w:bookmarkStart w:id="1471" w:name="Tc_zILCnekMWESk5CquZkrPuQ_12_0"/>
      <w:bookmarkStart w:id="1472" w:name="Tc_ByXaxdncV0WPBtA9C0xfWg_11_0"/>
      <w:bookmarkStart w:id="1473" w:name="Tc_uN5XgP_luki85Lge1Vwglg_10_0"/>
      <w:bookmarkStart w:id="1474" w:name="Tc_yup80TQNQUe-7tpieA9aXg_9_0"/>
      <w:bookmarkStart w:id="1475" w:name="Tc_OTQ8B5Xp3UyZo4fWM85tRQ_8_0"/>
      <w:bookmarkStart w:id="1476" w:name="Tc_fhtMKpaZgUu05T9c_dtgGw_7_0"/>
      <w:bookmarkStart w:id="1477" w:name="Tc_KwvDWo8IgEOQ0q99ZpI_uA_6_0"/>
      <w:bookmarkStart w:id="1478" w:name="Tc_aYPm0IPCVEGlEOeQX9M1Aw_5_0"/>
      <w:bookmarkStart w:id="1479" w:name="Tc_GuLlt-LZHUata1g_3SQCbA_4_2"/>
      <w:bookmarkStart w:id="1480" w:name="Tc_lmflT2Wff0-5pNwy1aIkEw_4_0"/>
      <w:bookmarkStart w:id="1481" w:name="Tc_901HmJwMyE6l4UiCjsl-HQ_3_2"/>
      <w:bookmarkStart w:id="1482" w:name="Tc_VP_nJAtPwkC0Q0DhWtv77g_3_0"/>
      <w:bookmarkStart w:id="1483" w:name="Tc_uW-rk5Fq4Eeutj9__8ZLJA_2_2"/>
      <w:bookmarkStart w:id="1484" w:name="Tc_FKk5pUhSOECm-_5XmDiXyA_2_0"/>
      <w:bookmarkStart w:id="1485" w:name="Tc_O4foN-tTaEWaZ_UNFNDwwg_1_2"/>
      <w:bookmarkStart w:id="1486" w:name="Tc_5z1vX4Xbe0WkcdNWkBJDTw_3_10"/>
      <w:bookmarkStart w:id="1487" w:name="Tc_RXqMa1O_bk2KI36RO-54JQ_3_7"/>
      <w:bookmarkStart w:id="1488" w:name="Tc_x9XiUCEjB0CphjwY7jP0gA_3_4"/>
      <w:bookmarkStart w:id="1489" w:name="Tc_K20nEoBo1EuduTyPbpWSaw_3_2"/>
      <w:bookmarkStart w:id="1490" w:name="Tc_ogQG2PWfJUq1rZMDY-FN_w_3_0"/>
      <w:bookmarkStart w:id="1491" w:name="Tc_R0hXeGy750OeXN6qbz0vmw_2_10"/>
      <w:bookmarkStart w:id="1492" w:name="Tc_ndvmfo3u1kKo0g5SVw3BNg_2_7"/>
      <w:bookmarkStart w:id="1493" w:name="Tc_6QRydIIxl0uq2QXdSw7OSg_2_4"/>
      <w:bookmarkStart w:id="1494" w:name="Tc_JdJ5fRBWZk6DIMjlxtGn1Q_2_2"/>
      <w:bookmarkStart w:id="1495" w:name="Tc_qBIkk8JpxUqVngql0Q0fOg_2_0"/>
      <w:bookmarkStart w:id="1496" w:name="Tc_RcMvXcsUe0iwlXsvLjG01A_1_4"/>
      <w:bookmarkStart w:id="1497" w:name="_a82d52d5_056f_438c_82c6_c09c49ba7fdf"/>
      <w:bookmarkStart w:id="1498" w:name="Tc_-o8jBVoazESgV6vKbzhA2A_9_7"/>
      <w:bookmarkStart w:id="1499" w:name="Tc_itAj90-FNk-Sp89gSqZpWA_9_4"/>
      <w:bookmarkStart w:id="1500" w:name="Tc_l33dZ0uo1kGBJXBRzmYd6A_9_0"/>
      <w:bookmarkStart w:id="1501" w:name="Tc_-L5IpsL9NEGgKZLvb9k1Rg_8_2"/>
      <w:bookmarkStart w:id="1502" w:name="Tc_MO0VmzXAHkensyhVwl9aIw_8_0"/>
      <w:bookmarkStart w:id="1503" w:name="Tc_t9ILV5jj5UKehjWAfORdKw_7_7"/>
      <w:bookmarkStart w:id="1504" w:name="Tc_MfycErGpP0OBCP24rZrfwA_7_4"/>
      <w:bookmarkStart w:id="1505" w:name="Tc_gFsP_5BwqkqMDujUWF8new_7_2"/>
      <w:bookmarkStart w:id="1506" w:name="Tc_P3zh7oBu_0-o2CMtb0sE2Q_7_0"/>
      <w:bookmarkStart w:id="1507" w:name="Tc_BgiGA7dpP069aOUlcy022w_6_0"/>
      <w:bookmarkStart w:id="1508" w:name="Tc_sV7PejcVTk2uaCRNkvfHnQ_4_7"/>
      <w:bookmarkStart w:id="1509" w:name="Tc_mcgTdMj47U6er9AX-nNK-w_4_4"/>
      <w:bookmarkStart w:id="1510" w:name="Tc_A-5UHipy5kqDM_avJvk6dQ_4_2"/>
      <w:bookmarkStart w:id="1511" w:name="Tc_khvZ9ZvOHEOdqo-OV4-h_A_4_0"/>
      <w:bookmarkStart w:id="1512" w:name="Tc_p8Hez9ksG0m9C9ZgG0Ow5w_3_0"/>
      <w:bookmarkStart w:id="1513" w:name="Tc_p9jla4IbOUa0y5UEqS7uTw_2_7"/>
      <w:bookmarkStart w:id="1514" w:name="Tc_-t14PBoKEEi6UVAsS6uH2A_2_4"/>
      <w:bookmarkStart w:id="1515" w:name="Tc_4j3kyIQW-kGlgpkpX7POAQ_2_2"/>
      <w:bookmarkStart w:id="1516" w:name="Tc_Bx9jVbeLpkCtcPlGoo_liA_2_0"/>
      <w:bookmarkStart w:id="1517" w:name="Tc_TFNI3amvfUybZS6agifC8w_1_4"/>
      <w:bookmarkStart w:id="1518" w:name="_8e068aa6_0fe2_40b1_b5f9_1d3d442c628a"/>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r>
        <w:rPr>
          <w:rFonts w:ascii="Times New Roman;Times;serif" w:hAnsi="Times New Roman;Times;serif"/>
          <w:sz w:val="20"/>
        </w:rPr>
        <w:t>There were no finance lease obligations outstanding during fiscal 2025, 2024 and 2023. The following table summarizes the Company’s operating leases:</w:t>
      </w:r>
    </w:p>
    <w:p>
      <w:pPr>
        <w:pStyle w:val="TextBody"/>
        <w:bidi w:val="0"/>
        <w:spacing w:before="0" w:after="0"/>
        <w:ind w:left="0" w:right="0" w:hanging="0"/>
        <w:jc w:val="left"/>
        <w:rPr/>
      </w:pPr>
      <w:r>
        <w:rPr/>
        <w:t>​</w:t>
      </w:r>
    </w:p>
    <w:tbl>
      <w:tblPr>
        <w:tblW w:w="9845" w:type="dxa"/>
        <w:jc w:val="left"/>
        <w:tblInd w:w="0" w:type="dxa"/>
        <w:tblLayout w:type="fixed"/>
        <w:tblCellMar>
          <w:top w:w="0" w:type="dxa"/>
          <w:left w:w="0" w:type="dxa"/>
          <w:bottom w:w="0" w:type="dxa"/>
          <w:right w:w="0" w:type="dxa"/>
        </w:tblCellMar>
      </w:tblPr>
      <w:tblGrid>
        <w:gridCol w:w="2311"/>
        <w:gridCol w:w="346"/>
        <w:gridCol w:w="3676"/>
        <w:gridCol w:w="346"/>
        <w:gridCol w:w="332"/>
        <w:gridCol w:w="1063"/>
        <w:gridCol w:w="346"/>
        <w:gridCol w:w="303"/>
        <w:gridCol w:w="1122"/>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467485" cy="175260"/>
                      <wp:effectExtent l="0" t="0" r="0" b="0"/>
                      <wp:wrapNone/>
                      <wp:docPr id="542" name="Frame54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543" name="Frame5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334260" cy="175260"/>
                      <wp:effectExtent l="0" t="0" r="0" b="0"/>
                      <wp:wrapNone/>
                      <wp:docPr id="544" name="Frame543"/>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45"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0820" cy="175260"/>
                      <wp:effectExtent l="0" t="0" r="0" b="0"/>
                      <wp:wrapNone/>
                      <wp:docPr id="546" name="Frame545"/>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75005" cy="175260"/>
                      <wp:effectExtent l="0" t="0" r="0" b="0"/>
                      <wp:wrapNone/>
                      <wp:docPr id="547" name="Frame546"/>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8" name="Frame5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92405" cy="175260"/>
                      <wp:effectExtent l="0" t="0" r="0" b="0"/>
                      <wp:wrapNone/>
                      <wp:docPr id="549" name="Frame54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712470" cy="175260"/>
                      <wp:effectExtent l="0" t="0" r="0" b="0"/>
                      <wp:wrapNone/>
                      <wp:docPr id="550" name="Frame549"/>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2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  ​ ​ ​</w:t>
            </w:r>
          </w:p>
        </w:tc>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 - Consolidated Balance Sheets</w:t>
            </w:r>
          </w:p>
        </w:tc>
        <w:tc>
          <w:tcPr>
            <w:tcW w:w="346" w:type="dxa"/>
            <w:tcBorders/>
            <w:vAlign w:val="center"/>
          </w:tcPr>
          <w:p>
            <w:pPr>
              <w:pStyle w:val="TableContents"/>
              <w:bidi w:val="0"/>
              <w:spacing w:before="0" w:after="0"/>
              <w:ind w:left="0" w:right="0" w:hanging="0"/>
              <w:jc w:val="center"/>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346" w:type="dxa"/>
            <w:tcBorders/>
            <w:vAlign w:val="center"/>
          </w:tcPr>
          <w:p>
            <w:pPr>
              <w:pStyle w:val="TableContents"/>
              <w:bidi w:val="0"/>
              <w:spacing w:before="0" w:after="0"/>
              <w:ind w:left="0" w:right="0" w:hanging="0"/>
              <w:jc w:val="center"/>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 2025</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 </w:t>
            </w:r>
          </w:p>
        </w:tc>
        <w:tc>
          <w:tcPr>
            <w:tcW w:w="3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32"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righ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36,177</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33,562</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122" w:type="dxa"/>
            <w:tcBorders/>
            <w:vAlign w:val="center"/>
          </w:tcPr>
          <w:p>
            <w:pPr>
              <w:pStyle w:val="TableContents"/>
              <w:bidi w:val="0"/>
              <w:spacing w:before="0" w:after="0"/>
              <w:ind w:left="0" w:right="0" w:hanging="0"/>
              <w:jc w:val="lef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1122" w:type="dxa"/>
            <w:tcBorders/>
            <w:shd w:fill="CCEEFF" w:val="clear"/>
            <w:vAlign w:val="center"/>
          </w:tcPr>
          <w:p>
            <w:pPr>
              <w:pStyle w:val="TableContents"/>
              <w:bidi w:val="0"/>
              <w:spacing w:before="0" w:after="0"/>
              <w:ind w:left="0" w:right="0" w:hanging="0"/>
              <w:jc w:val="righ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46"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9,547</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11,411</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26,341</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22,345</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vAlign w:val="center"/>
          </w:tcPr>
          <w:p>
            <w:pPr>
              <w:pStyle w:val="TableContents"/>
              <w:bidi w:val="0"/>
              <w:spacing w:before="0" w:after="0"/>
              <w:ind w:left="0" w:right="0" w:hanging="0"/>
              <w:jc w:val="left"/>
              <w:rPr/>
            </w:pPr>
            <w:r>
              <w:rPr/>
              <w:t>​</w:t>
            </w:r>
          </w:p>
        </w:tc>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35,888</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33,756</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Lease Cost</w:t>
      </w:r>
    </w:p>
    <w:p>
      <w:pPr>
        <w:pStyle w:val="TextBody"/>
        <w:bidi w:val="0"/>
        <w:spacing w:before="0" w:after="0"/>
        <w:ind w:left="0" w:right="0" w:hanging="0"/>
        <w:jc w:val="left"/>
        <w:rPr/>
      </w:pPr>
      <w:r>
        <w:rPr/>
        <w:t>​</w:t>
      </w:r>
    </w:p>
    <w:tbl>
      <w:tblPr>
        <w:tblW w:w="10178" w:type="dxa"/>
        <w:jc w:val="left"/>
        <w:tblInd w:w="0" w:type="dxa"/>
        <w:tblLayout w:type="fixed"/>
        <w:tblCellMar>
          <w:top w:w="0" w:type="dxa"/>
          <w:left w:w="0" w:type="dxa"/>
          <w:bottom w:w="0" w:type="dxa"/>
          <w:right w:w="0" w:type="dxa"/>
        </w:tblCellMar>
      </w:tblPr>
      <w:tblGrid>
        <w:gridCol w:w="1876"/>
        <w:gridCol w:w="346"/>
        <w:gridCol w:w="4066"/>
        <w:gridCol w:w="346"/>
        <w:gridCol w:w="221"/>
        <w:gridCol w:w="709"/>
        <w:gridCol w:w="346"/>
        <w:gridCol w:w="221"/>
        <w:gridCol w:w="709"/>
        <w:gridCol w:w="346"/>
        <w:gridCol w:w="211"/>
        <w:gridCol w:w="781"/>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191260" cy="175260"/>
                      <wp:effectExtent l="0" t="0" r="0" b="0"/>
                      <wp:wrapNone/>
                      <wp:docPr id="551" name="Frame550"/>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19710" cy="175260"/>
                      <wp:effectExtent l="0" t="0" r="0" b="0"/>
                      <wp:wrapNone/>
                      <wp:docPr id="552"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581910" cy="175260"/>
                      <wp:effectExtent l="0" t="0" r="0" b="0"/>
                      <wp:wrapNone/>
                      <wp:docPr id="553" name="Frame552"/>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4"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40335" cy="175260"/>
                      <wp:effectExtent l="0" t="0" r="0" b="0"/>
                      <wp:wrapNone/>
                      <wp:docPr id="555" name="Frame55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50215" cy="175260"/>
                      <wp:effectExtent l="0" t="0" r="0" b="0"/>
                      <wp:wrapNone/>
                      <wp:docPr id="556" name="Frame55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19710" cy="175260"/>
                      <wp:effectExtent l="0" t="0" r="0" b="0"/>
                      <wp:wrapNone/>
                      <wp:docPr id="557" name="Frame5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140335" cy="175260"/>
                      <wp:effectExtent l="0" t="0" r="0" b="0"/>
                      <wp:wrapNone/>
                      <wp:docPr id="558" name="Frame55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50215" cy="175260"/>
                      <wp:effectExtent l="0" t="0" r="0" b="0"/>
                      <wp:wrapNone/>
                      <wp:docPr id="559" name="Frame558"/>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60"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33985" cy="175260"/>
                      <wp:effectExtent l="0" t="0" r="0" b="0"/>
                      <wp:wrapNone/>
                      <wp:docPr id="561" name="Frame5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95935" cy="175260"/>
                      <wp:effectExtent l="0" t="0" r="0" b="0"/>
                      <wp:wrapNone/>
                      <wp:docPr id="562" name="Frame5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44" w:type="dxa"/>
            <w:gridSpan w:val="8"/>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Operating Lease Cost </w:t>
            </w:r>
            <w:r>
              <w:rPr>
                <w:rFonts w:ascii="Times New Roman;Times;serif" w:hAnsi="Times New Roman;Times;serif"/>
                <w:b/>
                <w:sz w:val="12"/>
              </w:rPr>
              <w:t>(a)</w:t>
            </w:r>
          </w:p>
        </w:tc>
      </w:tr>
      <w:tr>
        <w:trPr/>
        <w:tc>
          <w:tcPr>
            <w:tcW w:w="18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1"/>
              <w:ind w:left="0" w:right="0" w:hanging="0"/>
              <w:jc w:val="center"/>
              <w:rPr/>
            </w:pPr>
            <w:r>
              <w:rPr/>
              <w:t>  ​ ​ ​</w:t>
            </w:r>
          </w:p>
        </w:tc>
        <w:tc>
          <w:tcPr>
            <w:tcW w:w="4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Classification - Consolidated Statements of Operations</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lease cost</w:t>
            </w:r>
          </w:p>
        </w:tc>
        <w:tc>
          <w:tcPr>
            <w:tcW w:w="346" w:type="dxa"/>
            <w:tcBorders/>
            <w:shd w:fill="CCEEFF" w:val="clear"/>
            <w:vAlign w:val="center"/>
          </w:tcPr>
          <w:p>
            <w:pPr>
              <w:pStyle w:val="TableContents"/>
              <w:bidi w:val="0"/>
              <w:spacing w:before="0" w:after="1"/>
              <w:ind w:left="0" w:right="0" w:hanging="0"/>
              <w:jc w:val="left"/>
              <w:rPr/>
            </w:pPr>
            <w:r>
              <w:rPr/>
              <w:t> </w:t>
            </w:r>
          </w:p>
        </w:tc>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Rentals</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19,223</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21,569</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short term lease costs of $2.8</w:t>
            </w:r>
            <w:r>
              <w:rPr>
                <w:caps w:val="false"/>
                <w:smallCaps w:val="false"/>
              </w:rPr>
              <w:t> </w:t>
            </w:r>
            <w:r>
              <w:rPr>
                <w:rFonts w:ascii="Times New Roman;Times;serif" w:hAnsi="Times New Roman;Times;serif"/>
                <w:b w:val="false"/>
                <w:i w:val="false"/>
                <w:caps w:val="false"/>
                <w:smallCaps w:val="false"/>
                <w:sz w:val="20"/>
              </w:rPr>
              <w:t>million and $3.9</w:t>
            </w:r>
            <w:r>
              <w:rPr>
                <w:caps w:val="false"/>
                <w:smallCaps w:val="false"/>
              </w:rPr>
              <w:t xml:space="preserve"> </w:t>
            </w:r>
            <w:r>
              <w:rPr>
                <w:rFonts w:ascii="Times New Roman;Times;serif" w:hAnsi="Times New Roman;Times;serif"/>
                <w:b w:val="false"/>
                <w:i w:val="false"/>
                <w:caps w:val="false"/>
                <w:smallCaps w:val="false"/>
                <w:sz w:val="20"/>
              </w:rPr>
              <w:t>million and variable lease costs, including contingent rent, of $3.0</w:t>
            </w:r>
            <w:r>
              <w:rPr>
                <w:caps w:val="false"/>
                <w:smallCaps w:val="false"/>
              </w:rPr>
              <w:t> </w:t>
            </w:r>
            <w:r>
              <w:rPr>
                <w:rFonts w:ascii="Times New Roman;Times;serif" w:hAnsi="Times New Roman;Times;serif"/>
                <w:b w:val="false"/>
                <w:i w:val="false"/>
                <w:caps w:val="false"/>
                <w:smallCaps w:val="false"/>
                <w:sz w:val="20"/>
              </w:rPr>
              <w:t>million and $3.3</w:t>
            </w:r>
            <w:r>
              <w:rPr>
                <w:caps w:val="false"/>
                <w:smallCaps w:val="false"/>
              </w:rPr>
              <w:t xml:space="preserve"> </w:t>
            </w:r>
            <w:r>
              <w:rPr>
                <w:rFonts w:ascii="Times New Roman;Times;serif" w:hAnsi="Times New Roman;Times;serif"/>
                <w:b w:val="false"/>
                <w:i w:val="false"/>
                <w:caps w:val="false"/>
                <w:smallCaps w:val="false"/>
                <w:sz w:val="20"/>
              </w:rPr>
              <w:t>million for fiscal 2025 and 2024, respectively.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Maturities of Lease Liabilities</w:t>
      </w:r>
    </w:p>
    <w:p>
      <w:pPr>
        <w:pStyle w:val="TextBody"/>
        <w:bidi w:val="0"/>
        <w:spacing w:before="0" w:after="0"/>
        <w:ind w:left="0" w:right="0" w:hanging="0"/>
        <w:jc w:val="left"/>
        <w:rPr/>
      </w:pPr>
      <w:r>
        <w:rPr/>
        <w:t>​</w:t>
      </w:r>
    </w:p>
    <w:tbl>
      <w:tblPr>
        <w:tblW w:w="4174" w:type="dxa"/>
        <w:jc w:val="left"/>
        <w:tblInd w:w="0" w:type="dxa"/>
        <w:tblLayout w:type="fixed"/>
        <w:tblCellMar>
          <w:top w:w="0" w:type="dxa"/>
          <w:left w:w="0" w:type="dxa"/>
          <w:bottom w:w="0" w:type="dxa"/>
          <w:right w:w="0" w:type="dxa"/>
        </w:tblCellMar>
      </w:tblPr>
      <w:tblGrid>
        <w:gridCol w:w="2836"/>
        <w:gridCol w:w="346"/>
        <w:gridCol w:w="211"/>
        <w:gridCol w:w="78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800860" cy="175260"/>
                      <wp:effectExtent l="0" t="0" r="0" b="0"/>
                      <wp:wrapNone/>
                      <wp:docPr id="563" name="Frame562"/>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4"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65" name="Frame5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95935" cy="175260"/>
                      <wp:effectExtent l="0" t="0" r="0" b="0"/>
                      <wp:wrapNone/>
                      <wp:docPr id="566" name="Frame5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11,362</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10,198</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5,622</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2030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4,175</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41,302</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representing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(5,414)</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35,888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 Term and Discount Rate</w:t>
      </w:r>
    </w:p>
    <w:p>
      <w:pPr>
        <w:pStyle w:val="TextBody"/>
        <w:bidi w:val="0"/>
        <w:spacing w:before="0" w:after="0"/>
        <w:ind w:left="0" w:right="0" w:hanging="0"/>
        <w:jc w:val="left"/>
        <w:rPr/>
      </w:pPr>
      <w:r>
        <w:rPr/>
        <w:t>​</w:t>
      </w:r>
    </w:p>
    <w:tbl>
      <w:tblPr>
        <w:tblW w:w="8693" w:type="dxa"/>
        <w:jc w:val="left"/>
        <w:tblInd w:w="0" w:type="dxa"/>
        <w:tblLayout w:type="fixed"/>
        <w:tblCellMar>
          <w:top w:w="0" w:type="dxa"/>
          <w:left w:w="0" w:type="dxa"/>
          <w:bottom w:w="0" w:type="dxa"/>
          <w:right w:w="0" w:type="dxa"/>
        </w:tblCellMar>
      </w:tblPr>
      <w:tblGrid>
        <w:gridCol w:w="3331"/>
        <w:gridCol w:w="346"/>
        <w:gridCol w:w="1396"/>
        <w:gridCol w:w="271"/>
        <w:gridCol w:w="1381"/>
        <w:gridCol w:w="271"/>
        <w:gridCol w:w="1381"/>
        <w:gridCol w:w="31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15185" cy="175260"/>
                      <wp:effectExtent l="0" t="0" r="0" b="0"/>
                      <wp:wrapNone/>
                      <wp:docPr id="567" name="Frame566"/>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68"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886460" cy="175260"/>
                      <wp:effectExtent l="0" t="0" r="0" b="0"/>
                      <wp:wrapNone/>
                      <wp:docPr id="569" name="Frame568"/>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72085" cy="175260"/>
                      <wp:effectExtent l="0" t="0" r="0" b="0"/>
                      <wp:wrapNone/>
                      <wp:docPr id="570" name="Frame56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876935" cy="175260"/>
                      <wp:effectExtent l="0" t="0" r="0" b="0"/>
                      <wp:wrapNone/>
                      <wp:docPr id="571" name="Frame570"/>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72085" cy="175260"/>
                      <wp:effectExtent l="0" t="0" r="0" b="0"/>
                      <wp:wrapNone/>
                      <wp:docPr id="572" name="Frame57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876935" cy="175260"/>
                      <wp:effectExtent l="0" t="0" r="0" b="0"/>
                      <wp:wrapNone/>
                      <wp:docPr id="573" name="Frame57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0660" cy="175260"/>
                      <wp:effectExtent l="0" t="0" r="0" b="0"/>
                      <wp:wrapNone/>
                      <wp:docPr id="574" name="Frame57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2026</w:t>
            </w:r>
          </w:p>
        </w:tc>
        <w:tc>
          <w:tcPr>
            <w:tcW w:w="271" w:type="dxa"/>
            <w:tcBorders/>
            <w:vAlign w:val="center"/>
          </w:tcPr>
          <w:p>
            <w:pPr>
              <w:pStyle w:val="TableContents"/>
              <w:bidi w:val="0"/>
              <w:spacing w:before="0" w:after="0"/>
              <w:ind w:left="0" w:right="0" w:hanging="0"/>
              <w:jc w:val="center"/>
              <w:rPr/>
            </w:pPr>
            <w:r>
              <w:rPr/>
              <w:t>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1, 2025</w:t>
            </w:r>
          </w:p>
        </w:tc>
        <w:tc>
          <w:tcPr>
            <w:tcW w:w="271" w:type="dxa"/>
            <w:tcBorders/>
            <w:vAlign w:val="center"/>
          </w:tcPr>
          <w:p>
            <w:pPr>
              <w:pStyle w:val="TableContents"/>
              <w:bidi w:val="0"/>
              <w:spacing w:before="0" w:after="0"/>
              <w:ind w:left="0" w:right="0" w:hanging="0"/>
              <w:jc w:val="center"/>
              <w:rPr/>
            </w:pPr>
            <w:r>
              <w:rPr/>
              <w:t>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3, 2024</w:t>
            </w:r>
          </w:p>
        </w:tc>
        <w:tc>
          <w:tcPr>
            <w:tcW w:w="316" w:type="dxa"/>
            <w:tcBorders/>
            <w:vAlign w:val="center"/>
          </w:tcPr>
          <w:p>
            <w:pPr>
              <w:pStyle w:val="TableContents"/>
              <w:bidi w:val="0"/>
              <w:spacing w:before="0" w:after="0"/>
              <w:ind w:left="0" w:right="0" w:hanging="0"/>
              <w:jc w:val="center"/>
              <w:rPr/>
            </w:pPr>
            <w:r>
              <w:rPr/>
              <w:t> </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righ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271"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271"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righ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Information</w:t>
      </w:r>
    </w:p>
    <w:p>
      <w:pPr>
        <w:pStyle w:val="TextBody"/>
        <w:bidi w:val="0"/>
        <w:spacing w:before="0" w:after="0"/>
        <w:ind w:left="0" w:right="0" w:hanging="0"/>
        <w:jc w:val="left"/>
        <w:rPr/>
      </w:pPr>
      <w:r>
        <w:rPr/>
        <w:t>​</w:t>
      </w:r>
    </w:p>
    <w:tbl>
      <w:tblPr>
        <w:tblW w:w="9296" w:type="dxa"/>
        <w:jc w:val="left"/>
        <w:tblInd w:w="0" w:type="dxa"/>
        <w:tblLayout w:type="fixed"/>
        <w:tblCellMar>
          <w:top w:w="0" w:type="dxa"/>
          <w:left w:w="0" w:type="dxa"/>
          <w:bottom w:w="0" w:type="dxa"/>
          <w:right w:w="0" w:type="dxa"/>
        </w:tblCellMar>
      </w:tblPr>
      <w:tblGrid>
        <w:gridCol w:w="5806"/>
        <w:gridCol w:w="346"/>
        <w:gridCol w:w="221"/>
        <w:gridCol w:w="709"/>
        <w:gridCol w:w="146"/>
        <w:gridCol w:w="221"/>
        <w:gridCol w:w="709"/>
        <w:gridCol w:w="146"/>
        <w:gridCol w:w="211"/>
        <w:gridCol w:w="781"/>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686810" cy="175260"/>
                      <wp:effectExtent l="0" t="0" r="0" b="0"/>
                      <wp:wrapNone/>
                      <wp:docPr id="575" name="Frame574"/>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6"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40335" cy="175260"/>
                      <wp:effectExtent l="0" t="0" r="0" b="0"/>
                      <wp:wrapNone/>
                      <wp:docPr id="577" name="Frame57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450215" cy="175260"/>
                      <wp:effectExtent l="0" t="0" r="0" b="0"/>
                      <wp:wrapNone/>
                      <wp:docPr id="578" name="Frame577"/>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92710" cy="175260"/>
                      <wp:effectExtent l="0" t="0" r="0" b="0"/>
                      <wp:wrapNone/>
                      <wp:docPr id="579" name="Frame5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40335" cy="175260"/>
                      <wp:effectExtent l="0" t="0" r="0" b="0"/>
                      <wp:wrapNone/>
                      <wp:docPr id="580" name="Frame57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450215" cy="175260"/>
                      <wp:effectExtent l="0" t="0" r="0" b="0"/>
                      <wp:wrapNone/>
                      <wp:docPr id="581" name="Frame580"/>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92710" cy="175260"/>
                      <wp:effectExtent l="0" t="0" r="0" b="0"/>
                      <wp:wrapNone/>
                      <wp:docPr id="582" name="Frame5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3985" cy="175260"/>
                      <wp:effectExtent l="0" t="0" r="0" b="0"/>
                      <wp:wrapNone/>
                      <wp:docPr id="583" name="Frame5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495935" cy="175260"/>
                      <wp:effectExtent l="0" t="0" r="0" b="0"/>
                      <wp:wrapNone/>
                      <wp:docPr id="584" name="Frame5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dollars)</w:t>
            </w:r>
          </w:p>
        </w:tc>
        <w:tc>
          <w:tcPr>
            <w:tcW w:w="346" w:type="dxa"/>
            <w:tcBorders/>
            <w:vAlign w:val="center"/>
          </w:tcPr>
          <w:p>
            <w:pPr>
              <w:pStyle w:val="TableContents"/>
              <w:bidi w:val="0"/>
              <w:spacing w:before="0" w:after="0"/>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c>
          <w:tcPr>
            <w:tcW w:w="146" w:type="dxa"/>
            <w:tcBorders/>
            <w:vAlign w:val="center"/>
          </w:tcPr>
          <w:p>
            <w:pPr>
              <w:pStyle w:val="TableContents"/>
              <w:bidi w:val="0"/>
              <w:spacing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2024</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2023</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13,948</w:t>
            </w:r>
          </w:p>
        </w:tc>
        <w:tc>
          <w:tcPr>
            <w:tcW w:w="1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13,475</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assets obtained in exchange for new operating lease liabilities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14,592</w:t>
            </w:r>
          </w:p>
        </w:tc>
        <w:tc>
          <w:tcPr>
            <w:tcW w:w="1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20,477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14" w:type="dxa"/>
        <w:jc w:val="left"/>
        <w:tblInd w:w="0" w:type="dxa"/>
        <w:tblLayout w:type="fixed"/>
        <w:tblCellMar>
          <w:top w:w="28" w:type="dxa"/>
          <w:left w:w="28" w:type="dxa"/>
          <w:bottom w:w="28" w:type="dxa"/>
          <w:right w:w="28" w:type="dxa"/>
        </w:tblCellMar>
      </w:tblPr>
      <w:tblGrid>
        <w:gridCol w:w="124"/>
        <w:gridCol w:w="13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
              </w:rPr>
            </w:pPr>
            <w:r>
              <w:rPr>
                <w:rFonts w:ascii="Times New Roman;Times;serif" w:hAnsi="Times New Roman;Times;serif"/>
                <w:sz w:val="2"/>
              </w:rPr>
              <w:t>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Fair Value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fair values of financial instruments which are presented herein have been determined by the Company using available market information and appropriate valuation methodologies. However, considerable judgment is required in interpreting market data to develop estimates of fair value. Accordingly, the estimates presented herein are not necessarily indicative of amounts the Company could realize in a current market exchange.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Company’s long-term debt and subordinated debentures is based on market prices and are categorized as Level 1 in the fair value hierarchy.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Company’s cash and cash equivalents, restricted cash, if any, and trade accounts receivable approximates their carrying values at January 31, 2026 and February 1, 2025 due to the short-term maturities of these instruments. The Company’s short-term investments are recorded at amortized cost, which is consistent with the Company’s held-to-maturity classification. The fair values of the Company’s long-term debt at both January 31, 2026 and February 1, 2025 were approximately $336 million. The carrying values of the Company’s long-term debt at both January 31, 2026 and February 1, 2025 were approximately $322 million. The fair values of the subordinated debentures at January 31, 2026 and February 1, 2025 were approximately $209 million and $206 million, respectively. The carrying values of the subordinated debentures at both January 31, 2026 and February 1, 2025 were $200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Assets and Liabilities Measured at Fair Value on a Nonrecurring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FASB’s accounting guidance utilizes a fair value hierarchy that prioritizes the inputs to the valuation techniques used to measure fair value into three broad levels:</w:t>
      </w:r>
    </w:p>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(unadjusted)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that reflect the reporting entity’s own assumptions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fiscal 2025, 2024 and 2023, no asset impairment and store closing charges were recorded.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Subsequent Events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card litigation settlement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February 2026, the Company entered into a settlement agreement related to credit card interchange fee litigation.  As a result, the Company received $104.1 million, net of legal expenses, which will be recorded as a pretax gain in the Company’s consolidated financial statements in the first quarter of fiscal 2026. In addition, the Company expects to receive a reduction in interchange rates on certain transactions over the next 10 years.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Merger Proposal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March 19, 2026, the Company’s Board of Directors approved a proposed merger with W.D. Company, Inc. (“WDC”), a privately held Arkansas corporation organized as a family holding company to own and hold shares of Dillard’s Common Stock primarily for the benefit of the Dillard family. WDC has no business operations and engages in no business activities other than (a) owning, holding, and disposing of certain equity securities, including 41,496 shares of Dillard’s Class A Common Stock and 3,985,776 shares of Dillard’s Class B Common Stock and a </w:t>
      </w:r>
      <w:r>
        <w:rPr>
          <w:rFonts w:ascii="Times New Roman;Times;serif" w:hAnsi="Times New Roman;Times;serif"/>
          <w:i/>
          <w:sz w:val="20"/>
        </w:rPr>
        <w:t>de minimis</w:t>
      </w:r>
      <w:r>
        <w:rPr>
          <w:rFonts w:ascii="Times New Roman;Times;serif" w:hAnsi="Times New Roman;Times;serif"/>
          <w:sz w:val="20"/>
        </w:rPr>
        <w:t xml:space="preserve"> amount of shares of another publicly-traded common stock, and (b) receiving cash dividends from Dillard’s and distributing such dividends directly to WDC’s shareholders.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March 20, 2026, the Company entered into an agreement and plan of merger with WDC. Upon shareholder approval and consummation of the merger, WDC will merge with and into the Company, with the Company surviving the merger, and the separate corporate existence of WDC will terminate. Each share of WDC common stock issued and outstanding will be automatically cancelled, and in exchange therefor, each WDC shareholder will be entitled to receive such WDC shareholder’s pro rata share of:</w:t>
      </w:r>
    </w:p>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cash held by WDC </w:t>
            </w:r>
            <w:r>
              <w:rPr>
                <w:rFonts w:ascii="Times New Roman;Times;serif" w:hAnsi="Times New Roman;Times;serif"/>
                <w:b w:val="false"/>
                <w:i/>
                <w:sz w:val="20"/>
              </w:rPr>
              <w:t>plus</w:t>
            </w:r>
            <w:r>
              <w:rPr>
                <w:caps w:val="false"/>
                <w:smallCaps w:val="false"/>
              </w:rPr>
              <w:t xml:space="preserve"> </w:t>
            </w:r>
            <w:r>
              <w:rPr>
                <w:rFonts w:ascii="Times New Roman;Times;serif" w:hAnsi="Times New Roman;Times;serif"/>
                <w:b w:val="false"/>
                <w:i w:val="false"/>
                <w:caps w:val="false"/>
                <w:smallCaps w:val="false"/>
                <w:sz w:val="20"/>
              </w:rPr>
              <w:t>the value of other public company common stock owned by WDC;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amount up to 41,496</w:t>
            </w:r>
            <w:r>
              <w:rPr>
                <w:caps w:val="false"/>
                <w:smallCaps w:val="false"/>
              </w:rPr>
              <w:t xml:space="preserve"> </w:t>
            </w:r>
            <w:r>
              <w:rPr>
                <w:rFonts w:ascii="Times New Roman;Times;serif" w:hAnsi="Times New Roman;Times;serif"/>
                <w:b w:val="false"/>
                <w:i w:val="false"/>
                <w:caps w:val="false"/>
                <w:smallCaps w:val="false"/>
                <w:sz w:val="20"/>
              </w:rPr>
              <w:t>shares of Dillard’s Class A Common Stock and up to 3,985,776</w:t>
            </w:r>
            <w:r>
              <w:rPr>
                <w:caps w:val="false"/>
                <w:smallCaps w:val="false"/>
              </w:rPr>
              <w:t xml:space="preserve"> </w:t>
            </w:r>
            <w:r>
              <w:rPr>
                <w:rFonts w:ascii="Times New Roman;Times;serif" w:hAnsi="Times New Roman;Times;serif"/>
                <w:b w:val="false"/>
                <w:i w:val="false"/>
                <w:caps w:val="false"/>
                <w:smallCaps w:val="false"/>
                <w:sz w:val="20"/>
              </w:rPr>
              <w:t>shares of Dillard’s Class B Common Stock, excluding, for the avoidance of doubt, any fractional shares.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WDC shareholder will be entitled to receive his or her pro rata share of the merger consideration received. The shares of Dillard’s Common Stock held by WDC immediately prior to the merger will automatically become treasury stock of the Company and, immediately thereafter, will be cancelled and returned to the status of authorized but unissued shares available for future reissuance.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the merger consideration received consists of a number of shares of Dillard’s Class A Common Stock and Dillard’s Class B Common Stock identical (subject to reduction to avoid the issuance of fractional shares) to the number of shares of Dillard’s Class A Common Stock and Dillard’s Class B Common Stock currently held by WDC, the WDC shareholders, collectively, will have the same or a slightly lower percentage interest in the voting power, liquidation value and aggregate book value of Dillard’s following the consummation of the merger as such shareholders currently hold. Accordingly, there will be no dilution to current shareholders of Dillard’s as a result of the merger.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lineRule="auto" w:line="285" w:before="0" w:after="0"/>
        <w:ind w:left="0" w:right="0" w:hanging="0"/>
        <w:jc w:val="right"/>
        <w:rPr/>
      </w:pPr>
      <w:bookmarkStart w:id="1519" w:name="dds-20260131xex2dc.htm"/>
      <w:bookmarkStart w:id="1520" w:name="ksdds20260131xex2dc"/>
      <w:bookmarkEnd w:id="1519"/>
      <w:bookmarkEnd w:id="1520"/>
      <w:r>
        <w:rPr/>
        <w:t>​</w:t>
      </w:r>
      <w:r>
        <w:br w:type="page"/>
      </w:r>
    </w:p>
    <w:p>
      <w:pPr>
        <w:pStyle w:val="TextBody"/>
        <w:bidi w:val="0"/>
        <w:spacing w:lineRule="auto" w:line="285" w:before="0" w:after="240"/>
        <w:ind w:left="0" w:right="0" w:hanging="0"/>
        <w:jc w:val="right"/>
        <w:rPr>
          <w:rFonts w:ascii="Times New Roman;Times;serif" w:hAnsi="Times New Roman;Times;serif"/>
          <w:b/>
          <w:sz w:val="20"/>
        </w:rPr>
      </w:pPr>
      <w:r>
        <w:rPr>
          <w:rFonts w:ascii="Times New Roman;Times;serif" w:hAnsi="Times New Roman;Times;serif"/>
          <w:b/>
          <w:sz w:val="20"/>
        </w:rPr>
        <w:t>Exhibit 2(c)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AMENDMENT NO. 1 TO</w:t>
        <w:br/>
        <w:t>AGREEMENT AND PLAN OF MERGER</w:t>
      </w:r>
    </w:p>
    <w:p>
      <w:pPr>
        <w:pStyle w:val="TextBody"/>
        <w:bidi w:val="0"/>
        <w:spacing w:lineRule="auto" w:line="285" w:before="0" w:after="240"/>
        <w:ind w:left="0" w:right="0" w:firstLine="720"/>
        <w:jc w:val="both"/>
        <w:rPr>
          <w:rFonts w:ascii="Helvetica;sans-serif" w:hAnsi="Helvetica;sans-serif"/>
          <w:sz w:val="20"/>
        </w:rPr>
      </w:pPr>
      <w:r>
        <w:rPr>
          <w:rFonts w:ascii="Times New Roman;Times;serif" w:hAnsi="Times New Roman;Times;serif"/>
          <w:sz w:val="20"/>
        </w:rPr>
        <w:t>This AMENDMENT NO. 1 TO AGREEMENT AND PLAN OF MERGER (this “</w:t>
      </w:r>
      <w:r>
        <w:rPr>
          <w:rFonts w:ascii="Times New Roman;Times;serif" w:hAnsi="Times New Roman;Times;serif"/>
          <w:b/>
          <w:i/>
          <w:sz w:val="20"/>
        </w:rPr>
        <w:t>Amendment</w:t>
      </w:r>
      <w:r>
        <w:rPr>
          <w:rFonts w:ascii="Helvetica;sans-serif" w:hAnsi="Helvetica;sans-serif"/>
          <w:sz w:val="20"/>
        </w:rPr>
        <w:t>”</w:t>
      </w:r>
      <w:r>
        <w:rPr>
          <w:rFonts w:ascii="Times New Roman;Times;serif" w:hAnsi="Times New Roman;Times;serif"/>
          <w:sz w:val="20"/>
        </w:rPr>
        <w:t>), dated as of March 25, 2026, is being entered into by and between Dillard’s, Inc., a Texas corporation (“</w:t>
      </w:r>
      <w:r>
        <w:rPr>
          <w:rFonts w:ascii="Times New Roman;Times;serif" w:hAnsi="Times New Roman;Times;serif"/>
          <w:b/>
          <w:i/>
          <w:sz w:val="20"/>
        </w:rPr>
        <w:t>Dillard’s</w:t>
      </w:r>
      <w:r>
        <w:rPr>
          <w:rFonts w:ascii="Helvetica;sans-serif" w:hAnsi="Helvetica;sans-serif"/>
          <w:sz w:val="20"/>
        </w:rPr>
        <w:t>”</w:t>
      </w:r>
      <w:r>
        <w:rPr>
          <w:rFonts w:ascii="Times New Roman;Times;serif" w:hAnsi="Times New Roman;Times;serif"/>
          <w:sz w:val="20"/>
        </w:rPr>
        <w:t>), and W.D. Company, Inc., an Arkansas corporation (the “</w:t>
      </w:r>
      <w:r>
        <w:rPr>
          <w:rFonts w:ascii="Times New Roman;Times;serif" w:hAnsi="Times New Roman;Times;serif"/>
          <w:b/>
          <w:i/>
          <w:sz w:val="20"/>
        </w:rPr>
        <w:t>Company</w:t>
      </w:r>
      <w:r>
        <w:rPr>
          <w:rFonts w:ascii="Helvetica;sans-serif" w:hAnsi="Helvetica;sans-serif"/>
          <w:sz w:val="20"/>
        </w:rPr>
        <w:t>”</w:t>
      </w:r>
      <w:r>
        <w:rPr>
          <w:rFonts w:ascii="Times New Roman;Times;serif" w:hAnsi="Times New Roman;Times;serif"/>
          <w:sz w:val="20"/>
        </w:rPr>
        <w:t>). Dillard’s and the Company are referred to herein individually as a “</w:t>
      </w:r>
      <w:r>
        <w:rPr>
          <w:rFonts w:ascii="Times New Roman;Times;serif" w:hAnsi="Times New Roman;Times;serif"/>
          <w:b/>
          <w:i/>
          <w:sz w:val="20"/>
        </w:rPr>
        <w:t>Party</w:t>
      </w:r>
      <w:r>
        <w:rPr>
          <w:rFonts w:ascii="Helvetica;sans-serif" w:hAnsi="Helvetica;sans-serif"/>
          <w:sz w:val="20"/>
        </w:rPr>
        <w:t xml:space="preserve">” </w:t>
      </w:r>
      <w:r>
        <w:rPr>
          <w:rFonts w:ascii="Times New Roman;Times;serif" w:hAnsi="Times New Roman;Times;serif"/>
          <w:sz w:val="20"/>
        </w:rPr>
        <w:t>and collectively as the “</w:t>
      </w:r>
      <w:r>
        <w:rPr>
          <w:rFonts w:ascii="Times New Roman;Times;serif" w:hAnsi="Times New Roman;Times;serif"/>
          <w:b/>
          <w:i/>
          <w:sz w:val="20"/>
        </w:rPr>
        <w:t>Parties</w:t>
      </w:r>
      <w:r>
        <w:rPr>
          <w:rFonts w:ascii="Times New Roman;Times;serif" w:hAnsi="Times New Roman;Times;serif"/>
          <w:sz w:val="20"/>
        </w:rPr>
        <w:t>.” Capitalized terms used but not defined in this Amendment shall have the meanings given to such terms in the Merger Agreement (as defined herein).</w:t>
      </w:r>
    </w:p>
    <w:p>
      <w:pPr>
        <w:pStyle w:val="TextBody"/>
        <w:bidi w:val="0"/>
        <w:spacing w:lineRule="auto" w:line="285" w:before="0" w:after="240"/>
        <w:ind w:left="0" w:right="0" w:firstLine="720"/>
        <w:jc w:val="both"/>
        <w:rPr>
          <w:rFonts w:ascii="Helvetica;sans-serif" w:hAnsi="Helvetica;sans-serif"/>
          <w:sz w:val="20"/>
        </w:rPr>
      </w:pPr>
      <w:r>
        <w:rPr>
          <w:rFonts w:ascii="Times New Roman;Times;serif" w:hAnsi="Times New Roman;Times;serif"/>
          <w:b/>
          <w:sz w:val="20"/>
        </w:rPr>
        <w:t>WHEREAS</w:t>
      </w:r>
      <w:r>
        <w:rPr>
          <w:rFonts w:ascii="Times New Roman;Times;serif" w:hAnsi="Times New Roman;Times;serif"/>
          <w:sz w:val="20"/>
        </w:rPr>
        <w:t>, the Parties are parties to that certain Agreement and Plan of Merger, dated as of March 20, 2026 (as amended, amended and restated, supplemented or otherwise modified from time to time in accordance with its terms, the “</w:t>
      </w:r>
      <w:r>
        <w:rPr>
          <w:rFonts w:ascii="Times New Roman;Times;serif" w:hAnsi="Times New Roman;Times;serif"/>
          <w:b/>
          <w:i/>
          <w:sz w:val="20"/>
        </w:rPr>
        <w:t>Merger Agreement</w:t>
      </w:r>
      <w:r>
        <w:rPr>
          <w:rFonts w:ascii="Helvetica;sans-serif" w:hAnsi="Helvetica;sans-serif"/>
          <w:sz w:val="20"/>
        </w:rPr>
        <w:t>”</w:t>
      </w:r>
      <w:r>
        <w:rPr>
          <w:rFonts w:ascii="Times New Roman;Times;serif" w:hAnsi="Times New Roman;Times;serif"/>
          <w:sz w:val="20"/>
        </w:rPr>
        <w:t>); and</w:t>
      </w:r>
    </w:p>
    <w:p>
      <w:pPr>
        <w:pStyle w:val="TextBody"/>
        <w:bidi w:val="0"/>
        <w:spacing w:lineRule="auto" w:line="285" w:before="0" w:after="240"/>
        <w:ind w:left="0" w:right="0" w:firstLine="720"/>
        <w:jc w:val="both"/>
        <w:rPr>
          <w:rFonts w:ascii="Helvetica;sans-serif" w:hAnsi="Helvetica;sans-serif"/>
          <w:sz w:val="20"/>
        </w:rPr>
      </w:pPr>
      <w:r>
        <w:rPr>
          <w:rFonts w:ascii="Times New Roman;Times;serif" w:hAnsi="Times New Roman;Times;serif"/>
          <w:b/>
          <w:sz w:val="20"/>
        </w:rPr>
        <w:t>WHEREAS</w:t>
      </w:r>
      <w:r>
        <w:rPr>
          <w:rFonts w:ascii="Times New Roman;Times;serif" w:hAnsi="Times New Roman;Times;serif"/>
          <w:sz w:val="20"/>
        </w:rPr>
        <w:t>, pursuant to Section 9.3 of the Merger Agreement, (i) the Parties desire to amend the Merger Agreement as specifically set forth in this Amendment and (ii) the Dillard’s Special Committee has approved this Amendment.</w:t>
      </w:r>
    </w:p>
    <w:p>
      <w:pPr>
        <w:pStyle w:val="TextBody"/>
        <w:bidi w:val="0"/>
        <w:spacing w:lineRule="auto" w:line="285" w:before="0" w:after="240"/>
        <w:ind w:left="0" w:right="0" w:firstLine="720"/>
        <w:jc w:val="both"/>
        <w:rPr>
          <w:rFonts w:ascii="Helvetica;sans-serif" w:hAnsi="Helvetica;sans-serif"/>
          <w:sz w:val="20"/>
        </w:rPr>
      </w:pPr>
      <w:r>
        <w:rPr>
          <w:rFonts w:ascii="Times New Roman;Times;serif" w:hAnsi="Times New Roman;Times;serif"/>
          <w:b/>
          <w:sz w:val="20"/>
        </w:rPr>
        <w:t>NOW, THEREFORE</w:t>
      </w:r>
      <w:r>
        <w:rPr>
          <w:rFonts w:ascii="Times New Roman;Times;serif" w:hAnsi="Times New Roman;Times;serif"/>
          <w:sz w:val="20"/>
        </w:rPr>
        <w:t>, in consideration of the premises and the mutual promises contained herein and for other good and valuable consideration, the receipt and sufficiency of which are hereby acknowledged, the Parties hereby agree as follows:</w:t>
      </w:r>
      <w:bookmarkStart w:id="1521" w:name="_Hlk20721837"/>
      <w:bookmarkEnd w:id="1521"/>
      <w:r>
        <w:rPr>
          <w:rFonts w:ascii="Helvetica;sans-serif" w:hAnsi="Helvetica;sans-serif"/>
          <w:sz w:val="20"/>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b/>
          <w:sz w:val="20"/>
        </w:rPr>
        <w:t>Amendment to Section 6.9(a) of the Merger Agreement</w:t>
      </w:r>
      <w:r>
        <w:rPr>
          <w:rFonts w:ascii="Times New Roman;Times;serif" w:hAnsi="Times New Roman;Times;serif"/>
          <w:sz w:val="20"/>
        </w:rPr>
        <w:t>. The last two sentences of Section 6.9(a) of the Merger Agreement are hereby deleted in their entirety and replaced with the following:</w:t>
      </w:r>
    </w:p>
    <w:p>
      <w:pPr>
        <w:pStyle w:val="TextBody"/>
        <w:bidi w:val="0"/>
        <w:spacing w:lineRule="auto" w:line="285" w:before="0" w:after="240"/>
        <w:ind w:left="1440" w:right="0" w:hanging="0"/>
        <w:jc w:val="both"/>
        <w:rPr/>
      </w:pPr>
      <w:r>
        <w:rPr/>
        <w:t>“</w:t>
      </w:r>
      <w:r>
        <w:rPr>
          <w:rFonts w:ascii="Times New Roman;Times;serif" w:hAnsi="Times New Roman;Times;serif"/>
          <w:sz w:val="20"/>
        </w:rPr>
        <w:t>Dillard’s and the Company shall each pay fifty percent (50%) of the filing fee incurred in connection with the filing of the preliminary Proxy Statement in accordance with Rules 0-11(c)(1) and 0-11(c)(3) promulgated under the Exchange Act.”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b/>
          <w:sz w:val="20"/>
        </w:rPr>
        <w:t>Amendment to Section 7.1(d) of the Merger Agreement</w:t>
      </w:r>
      <w:r>
        <w:rPr>
          <w:rFonts w:ascii="Times New Roman;Times;serif" w:hAnsi="Times New Roman;Times;serif"/>
          <w:sz w:val="20"/>
        </w:rPr>
        <w:t>. Section 7.1(d) of the Merger Agreement is hereby deleted in its entirety and replaced with the following:</w:t>
      </w:r>
    </w:p>
    <w:p>
      <w:pPr>
        <w:pStyle w:val="TextBody"/>
        <w:bidi w:val="0"/>
        <w:spacing w:lineRule="auto" w:line="285" w:before="0" w:after="240"/>
        <w:ind w:left="1440" w:right="0" w:hanging="0"/>
        <w:jc w:val="both"/>
        <w:rPr/>
      </w:pPr>
      <w:r>
        <w:rPr/>
        <w:t>“</w:t>
      </w:r>
      <w:r>
        <w:rPr>
          <w:rFonts w:ascii="Times New Roman;Times;serif" w:hAnsi="Times New Roman;Times;serif"/>
          <w:sz w:val="20"/>
        </w:rPr>
        <w:t>the Company and the Shareholders shall have performed and complied in all material respects with all obligations and agreements required in this Agreement to be performed or complied with by the Company or the Shareholders on or prior to the Closing Date;”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b/>
          <w:sz w:val="20"/>
        </w:rPr>
        <w:t>Compliance with the Merger Agreement</w:t>
      </w:r>
      <w:r>
        <w:rPr>
          <w:rFonts w:ascii="Times New Roman;Times;serif" w:hAnsi="Times New Roman;Times;serif"/>
          <w:sz w:val="20"/>
        </w:rPr>
        <w:t>. The Parties acknowledge that this Amendment complies with the requirements to amend or modify the Merger Agreement, as stated in Section 9.3 of the Merger Agreement. The Merger Agreement, as amended hereby, is ratified</w:t>
      </w:r>
      <w:r>
        <w:rPr>
          <w:rFonts w:ascii="Times New Roman;Times;serif" w:hAnsi="Times New Roman;Times;serif"/>
          <w:spacing w:val="-11"/>
          <w:sz w:val="24"/>
        </w:rPr>
        <w:t xml:space="preserve"> </w:t>
      </w:r>
      <w:r>
        <w:rPr>
          <w:rFonts w:ascii="Times New Roman;Times;serif" w:hAnsi="Times New Roman;Times;serif"/>
          <w:sz w:val="20"/>
        </w:rPr>
        <w:t>and</w:t>
      </w:r>
      <w:r>
        <w:rPr>
          <w:rFonts w:ascii="Times New Roman;Times;serif" w:hAnsi="Times New Roman;Times;serif"/>
          <w:spacing w:val="-9"/>
          <w:sz w:val="24"/>
        </w:rPr>
        <w:t xml:space="preserve"> </w:t>
      </w:r>
      <w:r>
        <w:rPr>
          <w:rFonts w:ascii="Times New Roman;Times;serif" w:hAnsi="Times New Roman;Times;serif"/>
          <w:sz w:val="20"/>
        </w:rPr>
        <w:t>confirmed,</w:t>
      </w:r>
      <w:r>
        <w:rPr>
          <w:rFonts w:ascii="Times New Roman;Times;serif" w:hAnsi="Times New Roman;Times;serif"/>
          <w:spacing w:val="-11"/>
          <w:sz w:val="24"/>
        </w:rPr>
        <w:t xml:space="preserve"> </w:t>
      </w:r>
      <w:r>
        <w:rPr>
          <w:rFonts w:ascii="Times New Roman;Times;serif" w:hAnsi="Times New Roman;Times;serif"/>
          <w:sz w:val="20"/>
        </w:rPr>
        <w:t>and</w:t>
      </w:r>
      <w:r>
        <w:rPr>
          <w:rFonts w:ascii="Times New Roman;Times;serif" w:hAnsi="Times New Roman;Times;serif"/>
          <w:spacing w:val="-11"/>
          <w:sz w:val="24"/>
        </w:rPr>
        <w:t xml:space="preserve"> </w:t>
      </w:r>
      <w:r>
        <w:rPr>
          <w:rFonts w:ascii="Times New Roman;Times;serif" w:hAnsi="Times New Roman;Times;serif"/>
          <w:sz w:val="20"/>
        </w:rPr>
        <w:t>all</w:t>
      </w:r>
      <w:r>
        <w:rPr>
          <w:rFonts w:ascii="Times New Roman;Times;serif" w:hAnsi="Times New Roman;Times;serif"/>
          <w:spacing w:val="-11"/>
          <w:sz w:val="24"/>
        </w:rPr>
        <w:t xml:space="preserve"> </w:t>
      </w:r>
      <w:r>
        <w:rPr>
          <w:rFonts w:ascii="Times New Roman;Times;serif" w:hAnsi="Times New Roman;Times;serif"/>
          <w:sz w:val="20"/>
        </w:rPr>
        <w:t>other</w:t>
      </w:r>
      <w:r>
        <w:rPr>
          <w:rFonts w:ascii="Times New Roman;Times;serif" w:hAnsi="Times New Roman;Times;serif"/>
          <w:spacing w:val="-12"/>
          <w:sz w:val="24"/>
        </w:rPr>
        <w:t xml:space="preserve"> </w:t>
      </w:r>
      <w:r>
        <w:rPr>
          <w:rFonts w:ascii="Times New Roman;Times;serif" w:hAnsi="Times New Roman;Times;serif"/>
          <w:sz w:val="20"/>
        </w:rPr>
        <w:t>terms</w:t>
      </w:r>
      <w:r>
        <w:rPr>
          <w:rFonts w:ascii="Times New Roman;Times;serif" w:hAnsi="Times New Roman;Times;serif"/>
          <w:spacing w:val="-11"/>
          <w:sz w:val="24"/>
        </w:rPr>
        <w:t xml:space="preserve"> </w:t>
      </w:r>
      <w:r>
        <w:rPr>
          <w:rFonts w:ascii="Times New Roman;Times;serif" w:hAnsi="Times New Roman;Times;serif"/>
          <w:sz w:val="20"/>
        </w:rPr>
        <w:t>and</w:t>
      </w:r>
      <w:r>
        <w:rPr>
          <w:rFonts w:ascii="Times New Roman;Times;serif" w:hAnsi="Times New Roman;Times;serif"/>
          <w:spacing w:val="-9"/>
          <w:sz w:val="24"/>
        </w:rPr>
        <w:t xml:space="preserve"> </w:t>
      </w:r>
      <w:r>
        <w:rPr>
          <w:rFonts w:ascii="Times New Roman;Times;serif" w:hAnsi="Times New Roman;Times;serif"/>
          <w:sz w:val="20"/>
        </w:rPr>
        <w:t>conditions</w:t>
      </w:r>
      <w:r>
        <w:rPr>
          <w:rFonts w:ascii="Times New Roman;Times;serif" w:hAnsi="Times New Roman;Times;serif"/>
          <w:spacing w:val="-11"/>
          <w:sz w:val="24"/>
        </w:rPr>
        <w:t xml:space="preserve"> </w:t>
      </w:r>
      <w:r>
        <w:rPr>
          <w:rFonts w:ascii="Times New Roman;Times;serif" w:hAnsi="Times New Roman;Times;serif"/>
          <w:sz w:val="20"/>
        </w:rPr>
        <w:t>of</w:t>
      </w:r>
      <w:r>
        <w:rPr>
          <w:rFonts w:ascii="Times New Roman;Times;serif" w:hAnsi="Times New Roman;Times;serif"/>
          <w:spacing w:val="-12"/>
          <w:sz w:val="24"/>
        </w:rPr>
        <w:t xml:space="preserve"> </w:t>
      </w:r>
      <w:r>
        <w:rPr>
          <w:rFonts w:ascii="Times New Roman;Times;serif" w:hAnsi="Times New Roman;Times;serif"/>
          <w:sz w:val="20"/>
        </w:rPr>
        <w:t>the</w:t>
      </w:r>
      <w:r>
        <w:rPr>
          <w:rFonts w:ascii="Times New Roman;Times;serif" w:hAnsi="Times New Roman;Times;serif"/>
          <w:spacing w:val="-12"/>
          <w:sz w:val="24"/>
        </w:rPr>
        <w:t xml:space="preserve"> </w:t>
      </w:r>
      <w:r>
        <w:rPr>
          <w:rFonts w:ascii="Times New Roman;Times;serif" w:hAnsi="Times New Roman;Times;serif"/>
          <w:sz w:val="20"/>
        </w:rPr>
        <w:t>Merger Agreement not</w:t>
      </w:r>
      <w:r>
        <w:rPr>
          <w:rFonts w:ascii="Times New Roman;Times;serif" w:hAnsi="Times New Roman;Times;serif"/>
          <w:spacing w:val="-11"/>
          <w:sz w:val="24"/>
        </w:rPr>
        <w:t xml:space="preserve"> </w:t>
      </w:r>
      <w:r>
        <w:rPr>
          <w:rFonts w:ascii="Times New Roman;Times;serif" w:hAnsi="Times New Roman;Times;serif"/>
          <w:sz w:val="20"/>
        </w:rPr>
        <w:t>modified by this Amendment shall remain in full force and effect. All references to the Merger Agreement shall be considered to be references to the Merger Agreement as modified by this Amendment.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b/>
          <w:sz w:val="20"/>
        </w:rPr>
        <w:t>Incorporation</w:t>
      </w:r>
      <w:r>
        <w:rPr>
          <w:rFonts w:ascii="Times New Roman;Times;serif" w:hAnsi="Times New Roman;Times;serif"/>
          <w:sz w:val="20"/>
        </w:rPr>
        <w:t>. The Parties acknowledge that this Amendment shall be governed by the terms of Section 6.4 (</w:t>
      </w:r>
      <w:r>
        <w:rPr>
          <w:rFonts w:ascii="Times New Roman;Times;serif" w:hAnsi="Times New Roman;Times;serif"/>
          <w:i/>
          <w:sz w:val="20"/>
        </w:rPr>
        <w:t>Publicity</w:t>
      </w:r>
      <w:r>
        <w:rPr>
          <w:rFonts w:ascii="Times New Roman;Times;serif" w:hAnsi="Times New Roman;Times;serif"/>
          <w:sz w:val="20"/>
        </w:rPr>
        <w:t>), Section 6.5 (</w:t>
      </w:r>
      <w:r>
        <w:rPr>
          <w:rFonts w:ascii="Times New Roman;Times;serif" w:hAnsi="Times New Roman;Times;serif"/>
          <w:i/>
          <w:sz w:val="20"/>
        </w:rPr>
        <w:t>Confidentiality</w:t>
      </w:r>
      <w:r>
        <w:rPr>
          <w:rFonts w:ascii="Times New Roman;Times;serif" w:hAnsi="Times New Roman;Times;serif"/>
          <w:sz w:val="20"/>
        </w:rPr>
        <w:t>) and Article IX (</w:t>
      </w:r>
      <w:r>
        <w:rPr>
          <w:rFonts w:ascii="Times New Roman;Times;serif" w:hAnsi="Times New Roman;Times;serif"/>
          <w:i/>
          <w:sz w:val="20"/>
        </w:rPr>
        <w:t>Miscellaneous</w:t>
      </w:r>
      <w:r>
        <w:rPr>
          <w:rFonts w:ascii="Times New Roman;Times;serif" w:hAnsi="Times New Roman;Times;serif"/>
          <w:sz w:val="20"/>
        </w:rPr>
        <w:t xml:space="preserve">) of the Merger Agreement and such provisions shall be incorporated herein, </w:t>
      </w:r>
      <w:r>
        <w:rPr>
          <w:rFonts w:ascii="Times New Roman;Times;serif" w:hAnsi="Times New Roman;Times;serif"/>
          <w:i/>
          <w:sz w:val="20"/>
        </w:rPr>
        <w:t>mutatis</w:t>
      </w:r>
      <w:r>
        <w:rPr>
          <w:rFonts w:ascii="Times New Roman;Times;serif" w:hAnsi="Times New Roman;Times;serif"/>
          <w:spacing w:val="-6"/>
          <w:sz w:val="24"/>
        </w:rPr>
        <w:t xml:space="preserve"> </w:t>
      </w:r>
      <w:r>
        <w:rPr>
          <w:rFonts w:ascii="Times New Roman;Times;serif" w:hAnsi="Times New Roman;Times;serif"/>
          <w:i/>
          <w:sz w:val="20"/>
        </w:rPr>
        <w:t>mutandis</w:t>
      </w:r>
      <w:r>
        <w:rPr>
          <w:rFonts w:ascii="Times New Roman;Times;serif" w:hAnsi="Times New Roman;Times;serif"/>
          <w:sz w:val="20"/>
        </w:rPr>
        <w:t>.</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sz w:val="20"/>
        </w:rPr>
        <w:t>[</w:t>
      </w:r>
      <w:r>
        <w:rPr>
          <w:rFonts w:ascii="Times New Roman;Times;serif" w:hAnsi="Times New Roman;Times;serif"/>
          <w:i/>
          <w:sz w:val="20"/>
        </w:rPr>
        <w:t>Signature pages follow</w:t>
      </w:r>
      <w:r>
        <w:rPr>
          <w:rFonts w:ascii="Times New Roman;Times;serif" w:hAnsi="Times New Roman;Times;serif"/>
          <w:sz w:val="20"/>
        </w:rPr>
        <w:t>.]</w:t>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both"/>
        <w:rPr>
          <w:rFonts w:ascii="Helvetica;sans-serif" w:hAnsi="Helvetica;sans-serif"/>
          <w:sz w:val="20"/>
        </w:rPr>
      </w:pPr>
      <w:r>
        <w:rPr>
          <w:rFonts w:ascii="Times New Roman;Times;serif" w:hAnsi="Times New Roman;Times;serif"/>
          <w:b/>
          <w:sz w:val="20"/>
        </w:rPr>
        <w:t>IN WITNESS WHEREOF</w:t>
      </w:r>
      <w:r>
        <w:rPr>
          <w:rFonts w:ascii="Times New Roman;Times;serif" w:hAnsi="Times New Roman;Times;serif"/>
          <w:sz w:val="20"/>
        </w:rPr>
        <w:t>, each of the Parties has caused this Amendment to be duly executed on its behalf as of the day and year first above written above.</w:t>
      </w:r>
    </w:p>
    <w:p>
      <w:pPr>
        <w:pStyle w:val="TextBody"/>
        <w:bidi w:val="0"/>
        <w:spacing w:lineRule="auto" w:line="285" w:before="0" w:after="0"/>
        <w:ind w:left="4680" w:right="0" w:hanging="0"/>
        <w:jc w:val="both"/>
        <w:rPr>
          <w:rFonts w:ascii="Times New Roman;Times;serif" w:hAnsi="Times New Roman;Times;serif"/>
          <w:b/>
          <w:sz w:val="20"/>
        </w:rPr>
      </w:pPr>
      <w:r>
        <w:rPr>
          <w:rFonts w:ascii="Times New Roman;Times;serif" w:hAnsi="Times New Roman;Times;serif"/>
          <w:b/>
          <w:sz w:val="20"/>
        </w:rPr>
        <w:t>DILLARD’S, INC.</w:t>
      </w:r>
    </w:p>
    <w:p>
      <w:pPr>
        <w:pStyle w:val="TextBody"/>
        <w:bidi w:val="0"/>
        <w:spacing w:lineRule="auto" w:line="285" w:before="0" w:after="240"/>
        <w:ind w:left="4680" w:right="0" w:hanging="0"/>
        <w:jc w:val="both"/>
        <w:rPr/>
      </w:pPr>
      <w:r>
        <w:rPr/>
        <w:t>​</w:t>
      </w:r>
    </w:p>
    <w:p>
      <w:pPr>
        <w:pStyle w:val="TextBody"/>
        <w:bidi w:val="0"/>
        <w:spacing w:lineRule="auto" w:line="285" w:before="0" w:after="240"/>
        <w:ind w:left="4680" w:right="0" w:hanging="0"/>
        <w:jc w:val="both"/>
        <w:rPr/>
      </w:pPr>
      <w:r>
        <w:rPr/>
        <w:t>​</w:t>
      </w:r>
    </w:p>
    <w:p>
      <w:pPr>
        <w:pStyle w:val="TextBody"/>
        <w:pBdr/>
        <w:bidi w:val="0"/>
        <w:spacing w:lineRule="auto" w:line="285" w:before="0" w:after="0"/>
        <w:ind w:left="4680" w:right="0" w:hanging="547"/>
        <w:jc w:val="both"/>
        <w:rPr>
          <w:rFonts w:ascii="Times New Roman;Times;serif" w:hAnsi="Times New Roman;Times;serif"/>
          <w:sz w:val="20"/>
        </w:rPr>
      </w:pPr>
      <w:r>
        <w:rPr>
          <w:rFonts w:ascii="Times New Roman;Times;serif" w:hAnsi="Times New Roman;Times;serif"/>
          <w:sz w:val="20"/>
        </w:rPr>
        <w:t>By:</w:t>
      </w:r>
      <w:r>
        <w:rPr>
          <w:rFonts w:ascii="Times New Roman;Times;serif" w:hAnsi="Times New Roman;Times;serif"/>
          <w:sz w:val="20"/>
          <w:u w:val="single"/>
        </w:rPr>
        <w:t xml:space="preserve"> </w:t>
      </w:r>
      <w:r>
        <w:rPr>
          <w:rFonts w:ascii="Times New Roman;Times;serif" w:hAnsi="Times New Roman;Times;serif"/>
          <w:i/>
          <w:sz w:val="20"/>
        </w:rPr>
        <w:t>/s/ Phillip Watts</w:t>
      </w:r>
      <w:r>
        <w:rPr>
          <w:rFonts w:ascii="Times New Roman;Times;serif" w:hAnsi="Times New Roman;Times;serif"/>
          <w:sz w:val="20"/>
          <w:u w:val="single"/>
        </w:rPr>
        <w:t>                                </w:t>
      </w:r>
    </w:p>
    <w:p>
      <w:pPr>
        <w:pStyle w:val="TextBody"/>
        <w:pBdr/>
        <w:bidi w:val="0"/>
        <w:spacing w:lineRule="auto" w:line="285" w:before="0" w:after="0"/>
        <w:ind w:left="4680" w:right="0" w:hanging="547"/>
        <w:jc w:val="both"/>
        <w:rPr>
          <w:rFonts w:ascii="Times New Roman;Times;serif" w:hAnsi="Times New Roman;Times;serif"/>
          <w:sz w:val="20"/>
        </w:rPr>
      </w:pPr>
      <w:r>
        <w:rPr>
          <w:rFonts w:ascii="Times New Roman;Times;serif" w:hAnsi="Times New Roman;Times;serif"/>
          <w:sz w:val="20"/>
        </w:rPr>
        <w:t>Name: Phillip Watts</w:t>
      </w:r>
    </w:p>
    <w:p>
      <w:pPr>
        <w:pStyle w:val="TextBody"/>
        <w:pBdr/>
        <w:bidi w:val="0"/>
        <w:spacing w:lineRule="auto" w:line="285" w:before="0" w:after="240"/>
        <w:ind w:left="4680" w:right="0" w:hanging="612"/>
        <w:jc w:val="both"/>
        <w:rPr>
          <w:rFonts w:ascii="Times New Roman;Times;serif" w:hAnsi="Times New Roman;Times;serif"/>
          <w:sz w:val="20"/>
        </w:rPr>
      </w:pPr>
      <w:r>
        <w:rPr>
          <w:rFonts w:ascii="Times New Roman;Times;serif" w:hAnsi="Times New Roman;Times;serif"/>
          <w:sz w:val="20"/>
        </w:rPr>
        <w:t>Title:  Senior Vice President, Co-Principal Financial Officer and Principal Accounting Officer</w:t>
      </w:r>
    </w:p>
    <w:p>
      <w:pPr>
        <w:pStyle w:val="TextBody"/>
        <w:bidi w:val="0"/>
        <w:spacing w:lineRule="auto" w:line="285" w:before="0" w:after="240"/>
        <w:ind w:left="0" w:right="0" w:hanging="0"/>
        <w:jc w:val="both"/>
        <w:rPr/>
      </w:pPr>
      <w:r>
        <w:rPr/>
        <w:t>​</w:t>
      </w:r>
    </w:p>
    <w:p>
      <w:pPr>
        <w:pStyle w:val="TextBody"/>
        <w:bidi w:val="0"/>
        <w:spacing w:lineRule="auto" w:line="285" w:before="0" w:after="0"/>
        <w:ind w:left="4680" w:right="0" w:hanging="0"/>
        <w:jc w:val="both"/>
        <w:rPr>
          <w:rFonts w:ascii="Times New Roman;Times;serif" w:hAnsi="Times New Roman;Times;serif"/>
          <w:b/>
          <w:sz w:val="20"/>
        </w:rPr>
      </w:pPr>
      <w:r>
        <w:rPr>
          <w:rFonts w:ascii="Times New Roman;Times;serif" w:hAnsi="Times New Roman;Times;serif"/>
          <w:b/>
          <w:sz w:val="20"/>
        </w:rPr>
        <w:t>W.D. COMPANY, INC.</w:t>
      </w:r>
    </w:p>
    <w:p>
      <w:pPr>
        <w:pStyle w:val="TextBody"/>
        <w:bidi w:val="0"/>
        <w:spacing w:lineRule="auto" w:line="285" w:before="0" w:after="240"/>
        <w:ind w:left="4680" w:right="0" w:hanging="0"/>
        <w:jc w:val="both"/>
        <w:rPr/>
      </w:pPr>
      <w:r>
        <w:rPr/>
        <w:t>​</w:t>
      </w:r>
    </w:p>
    <w:p>
      <w:pPr>
        <w:pStyle w:val="TextBody"/>
        <w:bidi w:val="0"/>
        <w:spacing w:lineRule="auto" w:line="285" w:before="0" w:after="240"/>
        <w:ind w:left="4680" w:right="0" w:hanging="0"/>
        <w:jc w:val="both"/>
        <w:rPr/>
      </w:pPr>
      <w:r>
        <w:rPr/>
        <w:t>​</w:t>
      </w:r>
    </w:p>
    <w:p>
      <w:pPr>
        <w:pStyle w:val="TextBody"/>
        <w:pBdr/>
        <w:bidi w:val="0"/>
        <w:spacing w:lineRule="auto" w:line="285" w:before="0" w:after="0"/>
        <w:ind w:left="4680" w:right="0" w:hanging="547"/>
        <w:jc w:val="both"/>
        <w:rPr>
          <w:rFonts w:ascii="Times New Roman;Times;serif" w:hAnsi="Times New Roman;Times;serif"/>
          <w:sz w:val="20"/>
        </w:rPr>
      </w:pPr>
      <w:r>
        <w:rPr>
          <w:rFonts w:ascii="Times New Roman;Times;serif" w:hAnsi="Times New Roman;Times;serif"/>
          <w:sz w:val="20"/>
        </w:rPr>
        <w:t>By:</w:t>
      </w:r>
      <w:r>
        <w:rPr>
          <w:rFonts w:ascii="Times New Roman;Times;serif" w:hAnsi="Times New Roman;Times;serif"/>
          <w:sz w:val="20"/>
          <w:u w:val="single"/>
        </w:rPr>
        <w:t xml:space="preserve"> </w:t>
      </w:r>
      <w:r>
        <w:rPr>
          <w:rFonts w:ascii="Times New Roman;Times;serif" w:hAnsi="Times New Roman;Times;serif"/>
          <w:i/>
          <w:sz w:val="20"/>
        </w:rPr>
        <w:t>/s/ Dean Worley</w:t>
      </w:r>
      <w:r>
        <w:rPr>
          <w:rFonts w:ascii="Times New Roman;Times;serif" w:hAnsi="Times New Roman;Times;serif"/>
          <w:sz w:val="20"/>
          <w:u w:val="single"/>
        </w:rPr>
        <w:t>                                </w:t>
      </w:r>
    </w:p>
    <w:p>
      <w:pPr>
        <w:pStyle w:val="TextBody"/>
        <w:pBdr/>
        <w:bidi w:val="0"/>
        <w:spacing w:lineRule="auto" w:line="285" w:before="0" w:after="0"/>
        <w:ind w:left="4680" w:right="0" w:hanging="547"/>
        <w:jc w:val="both"/>
        <w:rPr>
          <w:rFonts w:ascii="Times New Roman;Times;serif" w:hAnsi="Times New Roman;Times;serif"/>
          <w:sz w:val="20"/>
        </w:rPr>
      </w:pPr>
      <w:r>
        <w:rPr>
          <w:rFonts w:ascii="Times New Roman;Times;serif" w:hAnsi="Times New Roman;Times;serif"/>
          <w:sz w:val="20"/>
        </w:rPr>
        <w:t>Name: Dean Worley</w:t>
      </w:r>
    </w:p>
    <w:p>
      <w:pPr>
        <w:pStyle w:val="TextBody"/>
        <w:pBdr/>
        <w:bidi w:val="0"/>
        <w:spacing w:lineRule="auto" w:line="285" w:before="0" w:after="0"/>
        <w:ind w:left="4680" w:right="0" w:hanging="547"/>
        <w:jc w:val="both"/>
        <w:rPr>
          <w:rFonts w:ascii="Times New Roman;Times;serif" w:hAnsi="Times New Roman;Times;serif"/>
          <w:sz w:val="20"/>
        </w:rPr>
      </w:pPr>
      <w:r>
        <w:rPr>
          <w:rFonts w:ascii="Times New Roman;Times;serif" w:hAnsi="Times New Roman;Times;serif"/>
          <w:sz w:val="20"/>
        </w:rPr>
        <w:t>Title: Secretary</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Signature Page to Amendment No. 1 to</w:t>
        <w:br/>
        <w:t>Agreement and Plan of Merger</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522" w:name="dds-20260131xex4db.htm"/>
      <w:bookmarkStart w:id="1523" w:name="ksdds20260131xex4db"/>
      <w:bookmarkEnd w:id="1522"/>
      <w:bookmarkEnd w:id="1523"/>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4(b)</w:t>
      </w:r>
    </w:p>
    <w:p>
      <w:pPr>
        <w:pStyle w:val="TextBody"/>
        <w:bidi w:val="0"/>
        <w:spacing w:lineRule="auto" w:line="307" w:before="0" w:after="16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REGISTRANT’S SECURITIES</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sz w:val="20"/>
        </w:rPr>
        <w:t>The following is a brief description of the capital stock, and a summary of the rights of the shareholders, of Dillard’s, Inc. (the “</w:t>
      </w:r>
      <w:r>
        <w:rPr>
          <w:rFonts w:ascii="Times New Roman;Times;serif" w:hAnsi="Times New Roman;Times;serif"/>
          <w:sz w:val="20"/>
          <w:u w:val="single"/>
        </w:rPr>
        <w:t>Company</w:t>
      </w:r>
      <w:r>
        <w:rPr>
          <w:rFonts w:ascii="Helvetica;sans-serif" w:hAnsi="Helvetica;sans-serif"/>
          <w:sz w:val="20"/>
        </w:rPr>
        <w:t>”</w:t>
      </w:r>
      <w:r>
        <w:rPr>
          <w:rFonts w:ascii="Times New Roman;Times;serif" w:hAnsi="Times New Roman;Times;serif"/>
          <w:sz w:val="20"/>
        </w:rPr>
        <w:t>). This description does not purport to be complete and is qualified in its entirety by reference to the Company’s Certificate of Formation (the “</w:t>
      </w:r>
      <w:r>
        <w:rPr>
          <w:rFonts w:ascii="Times New Roman;Times;serif" w:hAnsi="Times New Roman;Times;serif"/>
          <w:sz w:val="20"/>
          <w:u w:val="single"/>
        </w:rPr>
        <w:t>Charter</w:t>
      </w:r>
      <w:r>
        <w:rPr>
          <w:rFonts w:ascii="Helvetica;sans-serif" w:hAnsi="Helvetica;sans-serif"/>
          <w:sz w:val="20"/>
        </w:rPr>
        <w:t>”</w:t>
      </w:r>
      <w:r>
        <w:rPr>
          <w:rFonts w:ascii="Times New Roman;Times;serif" w:hAnsi="Times New Roman;Times;serif"/>
          <w:sz w:val="20"/>
        </w:rPr>
        <w:t>), and Bylaws (the “</w:t>
      </w:r>
      <w:r>
        <w:rPr>
          <w:rFonts w:ascii="Times New Roman;Times;serif" w:hAnsi="Times New Roman;Times;serif"/>
          <w:sz w:val="20"/>
          <w:u w:val="single"/>
        </w:rPr>
        <w:t>Bylaws</w:t>
      </w:r>
      <w:r>
        <w:rPr>
          <w:rFonts w:ascii="Helvetica;sans-serif" w:hAnsi="Helvetica;sans-serif"/>
          <w:sz w:val="20"/>
        </w:rPr>
        <w:t>”</w:t>
      </w:r>
      <w:r>
        <w:rPr>
          <w:rFonts w:ascii="Times New Roman;Times;serif" w:hAnsi="Times New Roman;Times;serif"/>
          <w:sz w:val="20"/>
        </w:rPr>
        <w:t>), and the applicable provisions of the Texas Business Organizations Code (the “</w:t>
      </w:r>
      <w:r>
        <w:rPr>
          <w:rFonts w:ascii="Times New Roman;Times;serif" w:hAnsi="Times New Roman;Times;serif"/>
          <w:sz w:val="20"/>
          <w:u w:val="single"/>
        </w:rPr>
        <w:t>TBOC</w:t>
      </w:r>
      <w:r>
        <w:rPr>
          <w:rFonts w:ascii="Helvetica;sans-serif" w:hAnsi="Helvetica;sans-serif"/>
          <w:sz w:val="20"/>
        </w:rPr>
        <w:t>”</w:t>
      </w:r>
      <w:r>
        <w:rPr>
          <w:rFonts w:ascii="Times New Roman;Times;serif" w:hAnsi="Times New Roman;Times;serif"/>
          <w:sz w:val="20"/>
        </w:rPr>
        <w:t>).</w:t>
        <w:br/>
      </w:r>
      <w:r>
        <w:rPr>
          <w:rFonts w:ascii="Helvetica;sans-serif" w:hAnsi="Helvetica;sans-serif"/>
          <w:sz w:val="20"/>
        </w:rPr>
        <w:t>​</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b/>
          <w:sz w:val="20"/>
        </w:rPr>
        <w:t>General</w:t>
        <w:br/>
      </w:r>
      <w:r>
        <w:rPr>
          <w:rFonts w:ascii="Helvetica;sans-serif" w:hAnsi="Helvetica;sans-serif"/>
          <w:sz w:val="20"/>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sz w:val="20"/>
        </w:rPr>
        <w:t>Under the Charter, the Company has an authorized capitalization of 310,000,000 shares of capital stock, consisting of (i) 289,000,000 shares of Class A common stock, par value $0.01 per share, (ii) 11,000,000 shares of Class B common stock, par value $0.01 per share, and (iii) 10,000,000 shares of preferred stock, par value $0.01 per share. The rights, preferences and privileges of holders of the Company’s Class A common stock are subject to the rights of the holders of any series of preferred stock that the Company may designate and issue in the future. Our Class A common stock is listed on the New York Stock Exchange the (“</w:t>
      </w:r>
      <w:r>
        <w:rPr>
          <w:rFonts w:ascii="Times New Roman;Times;serif" w:hAnsi="Times New Roman;Times;serif"/>
          <w:sz w:val="20"/>
          <w:u w:val="single"/>
        </w:rPr>
        <w:t>NYSE</w:t>
      </w:r>
      <w:r>
        <w:rPr>
          <w:rFonts w:ascii="Helvetica;sans-serif" w:hAnsi="Helvetica;sans-serif"/>
          <w:sz w:val="20"/>
        </w:rPr>
        <w:t>”</w:t>
      </w:r>
      <w:r>
        <w:rPr>
          <w:rFonts w:ascii="Times New Roman;Times;serif" w:hAnsi="Times New Roman;Times;serif"/>
          <w:sz w:val="20"/>
        </w:rPr>
        <w:t>) under the symbol “DDS”. No public market currently exists for the Company’s Class B common stock.</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Controlled Company Status</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sz w:val="20"/>
        </w:rPr>
        <w:t>Holders of the Company’s Class B common stock are entitled to certain rights unavailable to holders of the Company’s Class A common stock. Specifically, holders of Class B common stock are empowered as a class to elect two-thirds of the directors serving on the Company’s Board of Directors (the “</w:t>
      </w:r>
      <w:r>
        <w:rPr>
          <w:rFonts w:ascii="Times New Roman;Times;serif" w:hAnsi="Times New Roman;Times;serif"/>
          <w:sz w:val="20"/>
          <w:u w:val="single"/>
        </w:rPr>
        <w:t>Board</w:t>
      </w:r>
      <w:r>
        <w:rPr>
          <w:rFonts w:ascii="Helvetica;sans-serif" w:hAnsi="Helvetica;sans-serif"/>
          <w:sz w:val="20"/>
        </w:rPr>
        <w:t>”</w:t>
      </w:r>
      <w:r>
        <w:rPr>
          <w:rFonts w:ascii="Times New Roman;Times;serif" w:hAnsi="Times New Roman;Times;serif"/>
          <w:sz w:val="20"/>
        </w:rPr>
        <w:t>). Based on the current size of the Board, holders of Class A common stock are entitled to elect as a class five (5) members of the Board and holders of Class B common stock are entitled to elect as a class nine (9) members of the Board. The Class B common stock is held almost entirely by a single shareholder, W.D. Company, Inc., an Arkansas corporation (“</w:t>
      </w:r>
      <w:r>
        <w:rPr>
          <w:rFonts w:ascii="Times New Roman;Times;serif" w:hAnsi="Times New Roman;Times;serif"/>
          <w:sz w:val="20"/>
          <w:u w:val="single"/>
        </w:rPr>
        <w:t>WDC</w:t>
      </w:r>
      <w:r>
        <w:rPr>
          <w:rFonts w:ascii="Helvetica;sans-serif" w:hAnsi="Helvetica;sans-serif"/>
          <w:sz w:val="20"/>
        </w:rPr>
        <w:t>”</w:t>
      </w:r>
      <w:r>
        <w:rPr>
          <w:rFonts w:ascii="Times New Roman;Times;serif" w:hAnsi="Times New Roman;Times;serif"/>
          <w:sz w:val="20"/>
        </w:rPr>
        <w:t>).</w:t>
      </w:r>
      <w:r>
        <w:rPr>
          <w:rFonts w:ascii="Times New Roman;Times;serif" w:hAnsi="Times New Roman;Times;serif"/>
          <w:sz w:val="15"/>
        </w:rPr>
        <w:t>1</w:t>
      </w:r>
      <w:r>
        <w:rPr>
          <w:rFonts w:ascii="Helvetica;sans-serif" w:hAnsi="Helvetica;sans-serif"/>
          <w:sz w:val="20"/>
        </w:rPr>
        <w:t xml:space="preserve"> </w:t>
      </w:r>
      <w:r>
        <w:rPr>
          <w:rFonts w:ascii="Times New Roman;Times;serif" w:hAnsi="Times New Roman;Times;serif"/>
          <w:sz w:val="20"/>
        </w:rPr>
        <w:t>As a result, WDC can elect two-thirds of the directors of the Company. Accordingly, the Company qualifies as a “controlled company” under the listing standards of the NYSE. Our Class B common stock does not have cumulative voting rights.</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Description of Class A Common Stock</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The Company’s Class A common stock is the only class of the Company’s securities registered pursuant to Section 12 of the Securities Exchange Act of 1934, as amended.</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Dividends</w:t>
      </w:r>
      <w:r>
        <w:rPr>
          <w:rFonts w:ascii="Times New Roman;Times;serif" w:hAnsi="Times New Roman;Times;serif"/>
          <w:sz w:val="20"/>
        </w:rPr>
        <w:t>. The shares of Class A common stock and Class B common stock are entitled to participate equally in any dividends (other than dividends of common stock) which may be declared upon common stock and no dividends may be declared on shares of either class of common stock unless an equal dividend be declared on the other class; provided, however, that in the case of all dividends of common stock or stock split-ups, the Class A common stock will be entitled only to receive Class A common stock and the Class B common stock will be entitled only to receive Class B common stock.</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Conversion</w:t>
      </w:r>
      <w:r>
        <w:rPr>
          <w:rFonts w:ascii="Times New Roman;Times;serif" w:hAnsi="Times New Roman;Times;serif"/>
          <w:sz w:val="20"/>
        </w:rPr>
        <w:t>. The Class A common stock has no conversion features. Shares of Class B common stock are convertible at any time at the option of any holder thereof into shares of Class A common stock at the rate of one share of Class B common stock for one share of Class A common stock.</w:t>
      </w:r>
    </w:p>
    <w:p>
      <w:pPr>
        <w:pStyle w:val="TextBody"/>
        <w:bidi w:val="0"/>
        <w:spacing w:lineRule="auto" w:line="307" w:before="0" w:after="120"/>
        <w:ind w:left="0" w:right="0" w:firstLine="360"/>
        <w:jc w:val="left"/>
        <w:rPr/>
      </w:pPr>
      <w:r>
        <w:rPr/>
        <w:t>​</w:t>
      </w:r>
    </w:p>
    <w:p>
      <w:pPr>
        <w:pStyle w:val="TextBody"/>
        <w:bidi w:val="0"/>
        <w:spacing w:lineRule="auto" w:line="285" w:before="0" w:after="0"/>
        <w:ind w:left="0" w:right="0" w:firstLine="360"/>
        <w:jc w:val="left"/>
        <w:rPr/>
      </w:pPr>
      <w:r>
        <w:rPr/>
        <w:t> </w:t>
      </w:r>
      <w:r>
        <w:rPr>
          <w:rFonts w:ascii="Times New Roman;Times;serif" w:hAnsi="Times New Roman;Times;serif"/>
          <w:i/>
          <w:sz w:val="20"/>
        </w:rPr>
        <w:t>Liquidation, Dissolution or Winding Up</w:t>
      </w:r>
      <w:r>
        <w:rPr>
          <w:rFonts w:ascii="Times New Roman;Times;serif" w:hAnsi="Times New Roman;Times;serif"/>
          <w:sz w:val="20"/>
        </w:rPr>
        <w:t>. Upon final liquidation of the Company, holders of Class A common stock and Class B common stock, as a single class, are entitled to share ratably in the distribution of the remaining assets of the Company.</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pPr>
      <w:r>
        <w:rPr/>
        <w:t> </w:t>
      </w:r>
      <w:r>
        <w:rPr>
          <w:rFonts w:ascii="Times New Roman;Times;serif" w:hAnsi="Times New Roman;Times;serif"/>
          <w:i/>
          <w:sz w:val="20"/>
        </w:rPr>
        <w:t>Redemption</w:t>
      </w:r>
      <w:r>
        <w:rPr>
          <w:rFonts w:ascii="Times New Roman;Times;serif" w:hAnsi="Times New Roman;Times;serif"/>
          <w:sz w:val="20"/>
        </w:rPr>
        <w:t>. The common stock is not subject to redemption or a sinking fund.</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pPr>
      <w:r>
        <w:rPr/>
        <w:t> </w:t>
      </w:r>
      <w:r>
        <w:rPr>
          <w:rFonts w:ascii="Times New Roman;Times;serif" w:hAnsi="Times New Roman;Times;serif"/>
          <w:i/>
          <w:sz w:val="20"/>
        </w:rPr>
        <w:t>Preemptive Rights</w:t>
      </w:r>
      <w:r>
        <w:rPr>
          <w:rFonts w:ascii="Times New Roman;Times;serif" w:hAnsi="Times New Roman;Times;serif"/>
          <w:sz w:val="20"/>
        </w:rPr>
        <w:t>. Under the TBOC and the Charter, no holder of common stock has pre-emptive rights.</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hanging="0"/>
        <w:jc w:val="left"/>
        <w:rPr>
          <w:rFonts w:ascii="Helvetica;sans-serif" w:hAnsi="Helvetica;sans-serif"/>
          <w:sz w:val="20"/>
        </w:rPr>
      </w:pPr>
      <w:r>
        <w:rPr>
          <w:rFonts w:ascii="Helvetica;sans-serif" w:hAnsi="Helvetica;sans-serif"/>
          <w:sz w:val="15"/>
        </w:rPr>
        <w:t>1</w:t>
      </w:r>
      <w:r>
        <w:rPr>
          <w:rFonts w:ascii="Helvetica;sans-serif" w:hAnsi="Helvetica;sans-serif"/>
          <w:sz w:val="20"/>
        </w:rPr>
        <w:t xml:space="preserve"> NTD: This statement will remain true as of the Form 10-K filing date.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Issuance of Additional Shares</w:t>
      </w:r>
      <w:r>
        <w:rPr>
          <w:rFonts w:ascii="Times New Roman;Times;serif" w:hAnsi="Times New Roman;Times;serif"/>
          <w:sz w:val="20"/>
        </w:rPr>
        <w:t>. In case of the issuance of any shares of stock as a dividend upon the shares of Class A common stock or the shares of Class B common stock or in the case of any sub-division, split-up, combination, or change of the shares of Class A common stock or shares of Class B common stock into a different number of shares of the same or any other class or classes of stock, or in the case of any consolidation or merger of the Company with or into another corporation, or in the case of a conversion of the Company, or in case of any sale or conveyance to another corporation of the property of the Company as an entirety or substantially as an entirety, the conversion rate must be adjusted so that the rights of the holders of Class A common stock and of Class B common stock are not diluted as a result of such stock dividend, sub-division, split-up, combination, change, consolidation, merger, sale, or conveyance. Adjustments in the rate of conversion are calculated to the nearest one-tenth of a share. The Company is not required to issue fractional shares of Class A common stock upon conversion of Class B common stock. If any fractional interest in a share of Class A common stock is deliverable upon the conversion of any shares of Class B common stock, the Company may purchase such fractional interest for an amount in cash equal to the current market value of such fractional interest.</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pPr>
      <w:r>
        <w:rPr/>
        <w:t> </w:t>
      </w:r>
      <w:r>
        <w:rPr>
          <w:rFonts w:ascii="Times New Roman;Times;serif" w:hAnsi="Times New Roman;Times;serif"/>
          <w:i/>
          <w:sz w:val="20"/>
        </w:rPr>
        <w:t>Voting</w:t>
      </w:r>
      <w:r>
        <w:rPr>
          <w:rFonts w:ascii="Times New Roman;Times;serif" w:hAnsi="Times New Roman;Times;serif"/>
          <w:sz w:val="20"/>
        </w:rPr>
        <w:t>. As described above, the Charter and the Bylaws provide that holders of Class A common stock are entitled to elect one-third of the members of the Board by a separate class vote (the “Class A Directors”) and the holders of Class B common stock are entitled to elect two-thirds of the members of the Board (the “Class B Directors”) by a separate class vote. The Bylaws provide that the Class A Directors will be elected by a plurality of the votes cast by the holders of the Class A common stock present in person or represented by proxy and eligible to vote in such election and the Class B Directors will be elected by a plurality of the votes cast by the holders of the Class B common stock present in person or represented by proxy and eligible to vote in such election. Except as otherwise required by the Charter, and notwithstanding any provision of the TBOC to the contrary, all classes or series of stock are entitled to vote only as a single class or series, and separate voting by class or series is not required, for the purpose of approving any matter, including in connection with any “fundamental action” or “fundamental business transaction” as defined in the TBOC. Except as otherwise required by the Charter, the affirmative vote of the holders of a majority of the shares of stock then outstanding and entitled to vote on the matter, voting as a single class, is required to approve any “fundamental action” or “fundamental business transaction”. Notwithstanding the foregoing single-class voting provision, the holders of shares of a class of common stock are entitled to vote separately by class upon any proposed amendment to the Charter that would: (i) increase or decrease the aggregate number of authorized shares of such class; (ii) increase or decrease the par value of the shares of such class; or (iii) alter or change the powers, preferences, or special rights of the shares of such class so as to affect them adversely. If any proposed amendment to the Charter would alter or change the powers, preferences, or special rights of one or more series of any class so as to affect them adversely, but would not so affect the entire class, then only the shares of the series so affected by such amendment would be considered a separate class for the purposes of such class vote. In addition, except as otherwise required by the TBOC or the Charter, the holders of shares of Class A common stock and the holders of shares of Class B common stock are not entitled to vote on any amendment to the Charter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shares of one or more other such series, to vote thereon pursuant to the Charter or pursuant to the TBOC. Except as otherwise provided by the TBOC, the Charter or the Bylaws, in all matters other than the election of directors, the affirmative vote of the majority of the shares of capital stock present in person or represented by proxy at the meeting and entitled to vote on the subject matter is required for such matter to be approved by the shareholders. Except with respect to the election of directors as described above, each share of common stock entitles the holder thereof to one vote, in person or by proxy, on all matters submitted to a vote of shareholders. Voting is non-cumulative. The outstanding shares of common stock are fully paid and non-assessable.</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The Charter authorizes the Board to fix by resolution the designations, preferences, and relative rights, qualifications and limitations, of shares of preferred stock, from time to time.</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Anti-Takeover Provisions</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Advance Notice</w:t>
      </w:r>
      <w:r>
        <w:rPr>
          <w:rFonts w:ascii="Times New Roman;Times;serif" w:hAnsi="Times New Roman;Times;serif"/>
          <w:sz w:val="20"/>
        </w:rPr>
        <w:t>. The Bylaws establish advance notice requirements applicable to any shareholder seeking to propose business for consideration, or to nominate candidates for election to the Board, at any annual meeting of shareholders.</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Exclusive Forum; Waiver of Jury Trial</w:t>
      </w:r>
      <w:r>
        <w:rPr>
          <w:rFonts w:ascii="Times New Roman;Times;serif" w:hAnsi="Times New Roman;Times;serif"/>
          <w:sz w:val="20"/>
        </w:rPr>
        <w:t>.</w:t>
      </w:r>
      <w:r>
        <w:rPr>
          <w:rFonts w:ascii="Helvetica;sans-serif" w:hAnsi="Helvetica;sans-serif"/>
          <w:sz w:val="20"/>
        </w:rPr>
        <w:t> </w:t>
      </w:r>
      <w:r>
        <w:rPr>
          <w:rFonts w:ascii="Times New Roman;Times;serif" w:hAnsi="Times New Roman;Times;serif"/>
          <w:sz w:val="20"/>
        </w:rPr>
        <w:t>The Charter provides that, unless the Company consents in writing to the selection of an alternative forum, the Business Court in the First Business Court Division of the State of Texas (the “</w:t>
      </w:r>
      <w:r>
        <w:rPr>
          <w:rFonts w:ascii="Times New Roman;Times;serif" w:hAnsi="Times New Roman;Times;serif"/>
          <w:sz w:val="20"/>
          <w:u w:val="single"/>
        </w:rPr>
        <w:t>Business Court</w:t>
      </w:r>
      <w:r>
        <w:rPr>
          <w:rFonts w:ascii="Helvetica;sans-serif" w:hAnsi="Helvetica;sans-serif"/>
          <w:sz w:val="20"/>
        </w:rPr>
        <w:t>”</w:t>
      </w:r>
      <w:r>
        <w:rPr>
          <w:rFonts w:ascii="Times New Roman;Times;serif" w:hAnsi="Times New Roman;Times;serif"/>
          <w:sz w:val="20"/>
        </w:rPr>
        <w:t>) (or, if the Business Court determines that it lacks jurisdiction, the federal district court for the Northern District of Texas, Dallas Division) shall, to the fullest extent permitted by the TBOC, be the sole and exclusive forum for (i) any derivative action or proceeding brought on behalf of the Company, (ii) any action asserting a claim for or based on a breach of a fiduciary duty owed by any current or former director, officer, other employee, agent or shareholder of the Company to the Company or the Company’s shareholders, including a claim alleging the aiding and abetting of such a breach of fiduciary duty, (iii) any action arising pursuant to any provision of the TBOC or the Charter or the Bylaws or as to which the TBOC confers jurisdiction on the Business Court, (iv) any action to interpret, apply, enforce or determine the validity of the Charter or the Bylaws, (v) any action asserting a claim related to or involving the Company that is governed by the internal affairs doctrine, (vi) any action asserting an “internal entity claim” as that term is defined in Section 2.115 of the TBOC, or (vii) any other action within the jurisdiction of the Business Court, including any claims within the supplemental jurisdiction of the Business Court. Unless the Company consents otherwise, the federal district courts of the United States are the exclusive forum for any complaint asserting a cause of action arising under the Securities Act or the Exchange Act. Furthermore, by purchasing or holding stock in the Company, shareholders are deemed to have irrevocably waived any right to a jury trial for any “internal entity claim” as that term is defined in Section 2.115 of the TBOC and for other actions falling within the scope of the exclusive forum provision, to the fullest extent permitted by applicable law.</w:t>
      </w:r>
    </w:p>
    <w:p>
      <w:pPr>
        <w:pStyle w:val="TextBody"/>
        <w:bidi w:val="0"/>
        <w:spacing w:lineRule="auto" w:line="307" w:before="0" w:after="120"/>
        <w:ind w:left="0" w:right="0" w:firstLine="36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Business Combinations with Affiliated Shareholders</w:t>
      </w:r>
      <w:r>
        <w:rPr>
          <w:rFonts w:ascii="Times New Roman;Times;serif" w:hAnsi="Times New Roman;Times;serif"/>
          <w:sz w:val="20"/>
        </w:rPr>
        <w:t>. Section 21.606 of the TBOC provides that an issuing public corporation may not, directly or indirectly, enter into or engage in any business combination with an affiliated shareholder, or any affiliate or associate of an affiliated shareholder, during the three-year period immediately following the date the shareholder became an “affiliated shareholder. “Business combination” is defined broadly and includes (i) any merger, share exchange, or conversion involving an affiliated shareholder or its affiliate or associate; (ii) any sale, transfer, or other disposition of 10% or more of the corporation’s consolidated assets (by market value), outstanding voting shares (by market value), or consolidated earning power or net income, to or with an affiliated shareholder or its affiliate or associate; (iii) any issuance or transfer of shares to an affiliated shareholder or its affiliate or associate (other than pro rata distributions offered to all shareholders); (iv) any plan of liquidation or dissolution proposed in connection with an affiliated shareholder; (v) any reclassification or recapitalization that increases an affiliated shareholder’s proportionate voting ownership; and (vi) the receipt of any disproportionate financial benefit (such as a loan, guarantee, or tax advantage) from the issuing public corporation by an affiliated shareholder or its affiliate or associate. A person is an “affiliated shareholder” if it is, or within the preceding three-year period was, the beneficial owner of 20% or more of the outstanding voting shares of the issuing public corporation. An “issuing public corporation” is a domestic corporation that has (a) 100 or more shareholders of record as shown by its share transfer records, (b) a class or series of voting shares registered under the Securities Exchange Act of 1934, as amended, or (c) a class or series of voting shares qualified for trading in a national market system.</w:t>
      </w:r>
    </w:p>
    <w:p>
      <w:pPr>
        <w:pStyle w:val="TextBody"/>
        <w:bidi w:val="0"/>
        <w:spacing w:lineRule="auto" w:line="307" w:before="0" w:after="120"/>
        <w:ind w:left="0" w:right="0" w:firstLine="36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Fundamental Transactions</w:t>
      </w:r>
      <w:r>
        <w:rPr>
          <w:rFonts w:ascii="Times New Roman;Times;serif" w:hAnsi="Times New Roman;Times;serif"/>
          <w:sz w:val="20"/>
        </w:rPr>
        <w:t xml:space="preserve">. The Charter requires the affirmative vote or consent of the holders of at least four-fifths of all classes of stock of the Company entitled to vote in elections of directors, voting together as a single class, to approve (i) any agreement for the merger or consolidation of the Company with or into any other corporation, (ii) any sale, lease or exchange of all or substantially all of the assets of the Company to, or any sale, lease or exchange to the Company or any subsidiary thereof in exchange for securities of the Company of any assets of, any other corporation, person or other entity, or (iii) the dissolution or liquidation of the Company. This supermajority vote requirement is in addition to any vote or consent of shareholders otherwise required by the TBOC or by any agreement between the Company and any national securities exchange. The supermajority requirement does not apply to (a) any merger, consolidation, sale, lease, exchange, dissolution or liquidation if the Board of Directors, by resolution, approves a memorandum of understanding with the other party to the transaction substantially consistent with such transaction or such dissolution or liquidation, or (b) any merger or consolidation of the Company with, or any sale, lease or exchange to the Company or any subsidiary thereof of any assets of, any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corporation of which a majority of the outstanding shares of all classes of stock entitled to vote in elections of directors is owned of record or beneficially by the Company and its subsidiaries.</w:t>
      </w:r>
    </w:p>
    <w:p>
      <w:pPr>
        <w:pStyle w:val="TextBody"/>
        <w:bidi w:val="0"/>
        <w:spacing w:lineRule="auto" w:line="307" w:before="0" w:after="120"/>
        <w:ind w:left="0" w:right="0" w:firstLine="36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 xml:space="preserve">Amendments to Charter and Bylaws. </w:t>
      </w:r>
      <w:r>
        <w:rPr>
          <w:rFonts w:ascii="Times New Roman;Times;serif" w:hAnsi="Times New Roman;Times;serif"/>
          <w:sz w:val="20"/>
        </w:rPr>
        <w:t>The Charter provides that no amendment to Charter may amend, alter, change, or repeal the supermajority voting provisions for fundamental transactions described above unless such amendment receives the affirmative vote or consent of the holders of at least four-fifths of all classes of stock of the Company entitled to vote in elections of directors, voting together as a single class. Similarly, under both the Charter and the Bylaws, shareholders may make additional bylaws or alter, amend, or repeal any existing bylaws only by the vote of the holders of not less than four-fifths of all classes of stock of the Company entitled to vote in elections of directors, voting as one class. The Board of Directors is separately authorized and empowered, without any shareholder vote, to alter, amend, and repeal the Bylaws or adopt new Bylaws. These supermajority requirements are in addition to any amendment vote required under the TBOC and may make it more difficult for shareholders to effect changes to the Company’s governing documents.</w:t>
      </w:r>
    </w:p>
    <w:p>
      <w:pPr>
        <w:pStyle w:val="TextBody"/>
        <w:bidi w:val="0"/>
        <w:spacing w:lineRule="auto" w:line="307" w:before="0" w:after="120"/>
        <w:ind w:left="0" w:right="0" w:firstLine="36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Prohibition on Shareholder Action by Written Consent</w:t>
      </w:r>
      <w:r>
        <w:rPr>
          <w:rFonts w:ascii="Times New Roman;Times;serif" w:hAnsi="Times New Roman;Times;serif"/>
          <w:sz w:val="20"/>
        </w:rPr>
        <w:t>. The Charter provides that, except as otherwise provided by the TBOC, no action required to be taken or which may be taken at any annual or special meeting of shareholders of the Company may be taken without a meeting, and the power of shareholders to consent in writing, without a meeting, to the taking of any action is specifically denied.</w:t>
      </w:r>
    </w:p>
    <w:p>
      <w:pPr>
        <w:pStyle w:val="TextBody"/>
        <w:bidi w:val="0"/>
        <w:spacing w:lineRule="auto" w:line="307" w:before="0" w:after="120"/>
        <w:ind w:left="0" w:right="0" w:firstLine="36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Shareholder Right to Call Special Meetings</w:t>
      </w:r>
      <w:r>
        <w:rPr>
          <w:rFonts w:ascii="Times New Roman;Times;serif" w:hAnsi="Times New Roman;Times;serif"/>
          <w:sz w:val="20"/>
        </w:rPr>
        <w:t>. The Charter limits the ability of shareholders holding less than a majority to compel a special meeting. Specifically, special meetings of shareholders may be called only by the Board, the Chairman of the Board, the Chief Executive Officer, the President, or holders of at least 50% of the outstanding voting shares entitled to vote at the meeting.</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Limitation of Liability and Indemnification of Directors, Officers and Employees</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Limitation of Liability of Directors and Officers</w:t>
      </w:r>
      <w:r>
        <w:rPr>
          <w:rFonts w:ascii="Times New Roman;Times;serif" w:hAnsi="Times New Roman;Times;serif"/>
          <w:sz w:val="20"/>
        </w:rPr>
        <w:t>. Pursuant to the Charter, to the fullest extent permitted by the TBOC, directors and officers will not be personally liable to the Company or its shareholders for monetary damages for breach of a fiduciary duty as director or officer.</w:t>
      </w:r>
    </w:p>
    <w:p>
      <w:pPr>
        <w:pStyle w:val="TextBody"/>
        <w:bidi w:val="0"/>
        <w:spacing w:lineRule="auto" w:line="307" w:before="0" w:after="120"/>
        <w:ind w:left="0" w:right="0" w:firstLine="36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Indemnification</w:t>
      </w:r>
      <w:r>
        <w:rPr>
          <w:rFonts w:ascii="Times New Roman;Times;serif" w:hAnsi="Times New Roman;Times;serif"/>
          <w:sz w:val="20"/>
        </w:rPr>
        <w:t>. Each person who was or is made a party or is threatened to be made a party to or is otherwise involved in any action, suit or proceeding, whether civil, criminal, administrative or investigative (a “</w:t>
      </w:r>
      <w:r>
        <w:rPr>
          <w:rFonts w:ascii="Times New Roman;Times;serif" w:hAnsi="Times New Roman;Times;serif"/>
          <w:sz w:val="20"/>
          <w:u w:val="single"/>
        </w:rPr>
        <w:t>proceeding</w:t>
      </w:r>
      <w:r>
        <w:rPr>
          <w:rFonts w:ascii="Helvetica;sans-serif" w:hAnsi="Helvetica;sans-serif"/>
          <w:sz w:val="20"/>
        </w:rPr>
        <w:t>”</w:t>
      </w:r>
      <w:r>
        <w:rPr>
          <w:rFonts w:ascii="Times New Roman;Times;serif" w:hAnsi="Times New Roman;Times;serif"/>
          <w:sz w:val="20"/>
        </w:rPr>
        <w:t>), by reason of the fact that such person is or was a director or officer of the Company or, while serving as a director or officer of the Company, is or was serving at the request of the Company as a director, officer, employee, agent or other representative (as defined in the TBOC) of another corporation or of a partnership, joint venture, trust or other enterprise or organization, including service with respect to an employee benefit plan (hereinafter, an “</w:t>
      </w:r>
      <w:r>
        <w:rPr>
          <w:rFonts w:ascii="Times New Roman;Times;serif" w:hAnsi="Times New Roman;Times;serif"/>
          <w:sz w:val="20"/>
          <w:u w:val="single"/>
        </w:rPr>
        <w:t>indemnitee</w:t>
      </w:r>
      <w:r>
        <w:rPr>
          <w:rFonts w:ascii="Helvetica;sans-serif" w:hAnsi="Helvetica;sans-serif"/>
          <w:sz w:val="20"/>
        </w:rPr>
        <w:t>”</w:t>
      </w:r>
      <w:r>
        <w:rPr>
          <w:rFonts w:ascii="Times New Roman;Times;serif" w:hAnsi="Times New Roman;Times;serif"/>
          <w:sz w:val="20"/>
        </w:rPr>
        <w:t>), whether the basis of such proceeding is alleged action in an official capacity as a director or officer of the Company or in any other capacity while serving as a director or officer of the Company, will be indemnified and held harmless by the Company to the fullest extent permitted by the TBOC, against all expenses, liability and loss (including attorneys’ fees, judgments, fines, ERISA excise taxes or penalties and amounts paid in settlement) reasonably incurred by such indemnitee in connection therewith.</w:t>
      </w:r>
    </w:p>
    <w:p>
      <w:pPr>
        <w:pStyle w:val="TextBody"/>
        <w:bidi w:val="0"/>
        <w:spacing w:lineRule="auto" w:line="307" w:before="0" w:after="120"/>
        <w:ind w:left="0" w:right="0" w:firstLine="360"/>
        <w:jc w:val="left"/>
        <w:rPr/>
      </w:pPr>
      <w:r>
        <w:rPr/>
        <w:t>​</w:t>
      </w:r>
    </w:p>
    <w:p>
      <w:pPr>
        <w:pStyle w:val="TextBody"/>
        <w:bidi w:val="0"/>
        <w:spacing w:lineRule="auto" w:line="285" w:before="0" w:after="0"/>
        <w:ind w:left="0" w:right="0" w:firstLine="360"/>
        <w:jc w:val="left"/>
        <w:rPr>
          <w:rFonts w:ascii="Helvetica;sans-serif" w:hAnsi="Helvetica;sans-serif"/>
          <w:sz w:val="20"/>
        </w:rPr>
      </w:pPr>
      <w:r>
        <w:rPr>
          <w:rFonts w:ascii="Times New Roman;Times;serif" w:hAnsi="Times New Roman;Times;serif"/>
          <w:i/>
          <w:sz w:val="20"/>
        </w:rPr>
        <w:t>Indemnification of Employees</w:t>
      </w:r>
      <w:r>
        <w:rPr>
          <w:rFonts w:ascii="Times New Roman;Times;serif" w:hAnsi="Times New Roman;Times;serif"/>
          <w:sz w:val="20"/>
        </w:rPr>
        <w:t>. The Company may, to the extent authorized from time to time by the Board of Directors, the Chief Executive Officer, the President or the General Counsel, grant rights to indemnification and rights to advancement of expenses to any current or former employee or agent of the Company with the same or lesser scope and effect as the foregoing indemnification of, and advancement of expenses to, current and former directors and officers of the Company.</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lineRule="auto" w:line="307" w:before="0" w:after="12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The transfer agent and registrar for the common stock is Computershare Inc.</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524" w:name="dds-20260131xex21.htm"/>
      <w:bookmarkStart w:id="1525" w:name="ksdds20260131xex21"/>
      <w:bookmarkEnd w:id="1524"/>
      <w:bookmarkEnd w:id="1525"/>
      <w:r>
        <w:rPr>
          <w:rFonts w:ascii="Times New Roman;Times;serif" w:hAnsi="Times New Roman;Times;serif"/>
          <w:b/>
          <w:sz w:val="20"/>
        </w:rPr>
        <w:t>Exhibit 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REGISTRANT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of March 27, 2026</w:t>
      </w:r>
    </w:p>
    <w:tbl>
      <w:tblPr>
        <w:tblW w:w="605" w:type="dxa"/>
        <w:jc w:val="center"/>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78740" cy="175260"/>
                      <wp:effectExtent l="0" t="0" r="0" b="0"/>
                      <wp:wrapNone/>
                      <wp:docPr id="585" name="Frame58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9215" cy="175260"/>
                      <wp:effectExtent l="0" t="0" r="0" b="0"/>
                      <wp:wrapNone/>
                      <wp:docPr id="586" name="Frame5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720090"/>
                      <wp:effectExtent l="0" t="0" r="0" b="0"/>
                      <wp:wrapNone/>
                      <wp:docPr id="587" name="Frame586"/>
                      <a:graphic xmlns:a="http://schemas.openxmlformats.org/drawingml/2006/main">
                        <a:graphicData uri="http://schemas.microsoft.com/office/word/2010/wordprocessingShape">
                          <wps:wsp>
                            <wps:cNvSpPr txBox="1"/>
                            <wps:spPr>
                              <a:xfrm>
                                <a:off x="0" y="0"/>
                                <a:ext cx="69215" cy="72009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3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6.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3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9215" cy="175260"/>
                      <wp:effectExtent l="0" t="0" r="0" b="0"/>
                      <wp:wrapNone/>
                      <wp:docPr id="588"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97790" cy="175260"/>
                      <wp:effectExtent l="0" t="0" r="0" b="0"/>
                      <wp:wrapNone/>
                      <wp:docPr id="589" name="Frame58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78740" cy="467360"/>
                      <wp:effectExtent l="0" t="0" r="0" b="0"/>
                      <wp:wrapNone/>
                      <wp:docPr id="590" name="Frame589"/>
                      <a:graphic xmlns:a="http://schemas.openxmlformats.org/drawingml/2006/main">
                        <a:graphicData uri="http://schemas.microsoft.com/office/word/2010/wordprocessingShape">
                          <wps:wsp>
                            <wps:cNvSpPr txBox="1"/>
                            <wps:spPr>
                              <a:xfrm>
                                <a:off x="0" y="0"/>
                                <a:ext cx="78740" cy="46736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b/>
                                      <w:sz w:val="16"/>
                                    </w:rPr>
                                  </w:pPr>
                                  <w:r>
                                    <w:rPr>
                                      <w:rFonts w:ascii="Times New Roman;Times;serif" w:hAnsi="Times New Roman;Times;serif"/>
                                      <w:b/>
                                      <w:sz w:val="16"/>
                                    </w:rPr>
                                    <w:t>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b/>
                                <w:sz w:val="16"/>
                              </w:rPr>
                            </w:pPr>
                            <w:r>
                              <w:rPr>
                                <w:rFonts w:ascii="Times New Roman;Times;serif" w:hAnsi="Times New Roman;Times;serif"/>
                                <w:b/>
                                <w:sz w:val="16"/>
                              </w:rPr>
                              <w:t>Name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9215" cy="525780"/>
                      <wp:effectExtent l="0" t="0" r="0" b="0"/>
                      <wp:wrapNone/>
                      <wp:docPr id="591" name="Frame590"/>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9215" cy="5608320"/>
                      <wp:effectExtent l="0" t="0" r="0" b="0"/>
                      <wp:wrapNone/>
                      <wp:docPr id="592" name="Frame591"/>
                      <a:graphic xmlns:a="http://schemas.openxmlformats.org/drawingml/2006/main">
                        <a:graphicData uri="http://schemas.microsoft.com/office/word/2010/wordprocessingShape">
                          <wps:wsp>
                            <wps:cNvSpPr txBox="1"/>
                            <wps:spPr>
                              <a:xfrm>
                                <a:off x="0" y="0"/>
                                <a:ext cx="69215" cy="560832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State or Other</w:t>
                                  </w:r>
                                  <w:r>
                                    <w:rPr>
                                      <w:rFonts w:ascii="Times New Roman;Times;serif" w:hAnsi="Times New Roman;Times;serif"/>
                                      <w:sz w:val="16"/>
                                    </w:rPr>
                                    <w:br/>
                                  </w:r>
                                  <w:r>
                                    <w:rPr>
                                      <w:rFonts w:ascii="Times New Roman;Times;serif" w:hAnsi="Times New Roman;Times;serif"/>
                                      <w:b/>
                                      <w:sz w:val="16"/>
                                    </w:rPr>
                                    <w:t>Jurisdiction of</w:t>
                                  </w:r>
                                  <w:r>
                                    <w:rPr>
                                      <w:rFonts w:ascii="Times New Roman;Times;serif" w:hAnsi="Times New Roman;Times;serif"/>
                                      <w:sz w:val="16"/>
                                    </w:rPr>
                                    <w:br/>
                                  </w:r>
                                  <w:r>
                                    <w:rPr>
                                      <w:rFonts w:ascii="Times New Roman;Times;serif" w:hAnsi="Times New Roman;Times;serif"/>
                                      <w:b/>
                                      <w:sz w:val="16"/>
                                    </w:rPr>
                                    <w:t>Incorporation/</w:t>
                                  </w:r>
                                  <w:r>
                                    <w:rPr>
                                      <w:rFonts w:ascii="Times New Roman;Times;serif" w:hAnsi="Times New Roman;Times;serif"/>
                                      <w:sz w:val="16"/>
                                    </w:rPr>
                                    <w:br/>
                                  </w:r>
                                  <w:r>
                                    <w:rPr>
                                      <w:rFonts w:ascii="Times New Roman;Times;serif" w:hAnsi="Times New Roman;Times;serif"/>
                                      <w:b/>
                                      <w:sz w:val="16"/>
                                    </w:rPr>
                                    <w:t>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4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State or Other</w:t>
                            </w:r>
                            <w:r>
                              <w:rPr>
                                <w:rFonts w:ascii="Times New Roman;Times;serif" w:hAnsi="Times New Roman;Times;serif"/>
                                <w:sz w:val="16"/>
                              </w:rPr>
                              <w:br/>
                            </w:r>
                            <w:r>
                              <w:rPr>
                                <w:rFonts w:ascii="Times New Roman;Times;serif" w:hAnsi="Times New Roman;Times;serif"/>
                                <w:b/>
                                <w:sz w:val="16"/>
                              </w:rPr>
                              <w:t>Jurisdiction of</w:t>
                            </w:r>
                            <w:r>
                              <w:rPr>
                                <w:rFonts w:ascii="Times New Roman;Times;serif" w:hAnsi="Times New Roman;Times;serif"/>
                                <w:sz w:val="16"/>
                              </w:rPr>
                              <w:br/>
                            </w:r>
                            <w:r>
                              <w:rPr>
                                <w:rFonts w:ascii="Times New Roman;Times;serif" w:hAnsi="Times New Roman;Times;serif"/>
                                <w:b/>
                                <w:sz w:val="16"/>
                              </w:rPr>
                              <w:t>Incorporation/</w:t>
                            </w:r>
                            <w:r>
                              <w:rPr>
                                <w:rFonts w:ascii="Times New Roman;Times;serif" w:hAnsi="Times New Roman;Times;serif"/>
                                <w:sz w:val="16"/>
                              </w:rPr>
                              <w:br/>
                            </w:r>
                            <w:r>
                              <w:rPr>
                                <w:rFonts w:ascii="Times New Roman;Times;serif" w:hAnsi="Times New Roman;Times;serif"/>
                                <w:b/>
                                <w:sz w:val="16"/>
                              </w:rPr>
                              <w:t>Organization</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9215" cy="525780"/>
                      <wp:effectExtent l="0" t="0" r="0" b="0"/>
                      <wp:wrapNone/>
                      <wp:docPr id="593" name="Frame592"/>
                      <a:graphic xmlns:a="http://schemas.openxmlformats.org/drawingml/2006/main">
                        <a:graphicData uri="http://schemas.microsoft.com/office/word/2010/wordprocessingShape">
                          <wps:wsp>
                            <wps:cNvSpPr txBox="1"/>
                            <wps:spPr>
                              <a:xfrm>
                                <a:off x="0" y="0"/>
                                <a:ext cx="69215" cy="525780"/>
                              </a:xfrm>
                              <a:prstGeom prst="rect"/>
                              <a:solidFill>
                                <a:srgbClr val="FFFFFF"/>
                              </a:solidFill>
                            </wps:spPr>
                            <wps:txbx>
                              <w:txbxContent>
                                <w:p>
                                  <w:pPr>
                                    <w:pStyle w:val="TableContents"/>
                                    <w:bidi w:val="0"/>
                                    <w:spacing w:before="0" w:after="0"/>
                                    <w:ind w:left="0" w:right="0" w:hanging="0"/>
                                    <w:jc w:val="left"/>
                                    <w:rPr/>
                                  </w:pPr>
                                  <w:r>
                                    <w:rPr/>
                                    <w:t>  ​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97790" cy="3271520"/>
                      <wp:effectExtent l="0" t="0" r="0" b="0"/>
                      <wp:wrapNone/>
                      <wp:docPr id="594" name="Frame593"/>
                      <a:graphic xmlns:a="http://schemas.openxmlformats.org/drawingml/2006/main">
                        <a:graphicData uri="http://schemas.microsoft.com/office/word/2010/wordprocessingShape">
                          <wps:wsp>
                            <wps:cNvSpPr txBox="1"/>
                            <wps:spPr>
                              <a:xfrm>
                                <a:off x="0" y="0"/>
                                <a:ext cx="97790" cy="327152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b/>
                                      <w:sz w:val="16"/>
                                    </w:rPr>
                                  </w:pPr>
                                  <w:r>
                                    <w:rPr>
                                      <w:rFonts w:ascii="Times New Roman;Times;serif" w:hAnsi="Times New Roman;Times;serif"/>
                                      <w:b/>
                                      <w:sz w:val="16"/>
                                    </w:rPr>
                                    <w:t>Name Under Which Subsidiary Is Doing Business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5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b/>
                                <w:sz w:val="16"/>
                              </w:rPr>
                            </w:pPr>
                            <w:r>
                              <w:rPr>
                                <w:rFonts w:ascii="Times New Roman;Times;serif" w:hAnsi="Times New Roman;Times;serif"/>
                                <w:b/>
                                <w:sz w:val="16"/>
                              </w:rPr>
                              <w:t>Name Under Which Subsidiary Is Doing Business</w:t>
                            </w:r>
                          </w:p>
                        </w:txbxContent>
                      </v:textbox>
                      <w10:wrap type="none"/>
                    </v:rect>
                  </w:pict>
                </mc:Fallback>
              </mc:AlternateContent>
            </w:r>
          </w:p>
        </w:tc>
      </w:tr>
      <w:tr>
        <w:trPr/>
        <w:tc>
          <w:tcPr>
            <w:tcW w:w="124"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78740" cy="2493645"/>
                      <wp:effectExtent l="0" t="0" r="0" b="0"/>
                      <wp:wrapNone/>
                      <wp:docPr id="595" name="Frame594"/>
                      <a:graphic xmlns:a="http://schemas.openxmlformats.org/drawingml/2006/main">
                        <a:graphicData uri="http://schemas.microsoft.com/office/word/2010/wordprocessingShape">
                          <wps:wsp>
                            <wps:cNvSpPr txBox="1"/>
                            <wps:spPr>
                              <a:xfrm>
                                <a:off x="0" y="0"/>
                                <a:ext cx="78740" cy="249364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Condev Nevada,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Condev Nevada, Inc.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215" cy="175260"/>
                      <wp:effectExtent l="0" t="0" r="0" b="0"/>
                      <wp:wrapNone/>
                      <wp:docPr id="596" name="Frame5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9215" cy="880110"/>
                      <wp:effectExtent l="0" t="0" r="0" b="0"/>
                      <wp:wrapNone/>
                      <wp:docPr id="597" name="Frame596"/>
                      <a:graphic xmlns:a="http://schemas.openxmlformats.org/drawingml/2006/main">
                        <a:graphicData uri="http://schemas.microsoft.com/office/word/2010/wordprocessingShape">
                          <wps:wsp>
                            <wps:cNvSpPr txBox="1"/>
                            <wps:spPr>
                              <a:xfrm>
                                <a:off x="0" y="0"/>
                                <a:ext cx="69215" cy="88011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Nevada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Nevada</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9215" cy="175260"/>
                      <wp:effectExtent l="0" t="0" r="0" b="0"/>
                      <wp:wrapNone/>
                      <wp:docPr id="598" name="Frame5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97790" cy="3520440"/>
                      <wp:effectExtent l="0" t="0" r="0" b="0"/>
                      <wp:wrapNone/>
                      <wp:docPr id="599" name="Frame598"/>
                      <a:graphic xmlns:a="http://schemas.openxmlformats.org/drawingml/2006/main">
                        <a:graphicData uri="http://schemas.microsoft.com/office/word/2010/wordprocessingShape">
                          <wps:wsp>
                            <wps:cNvSpPr txBox="1"/>
                            <wps:spPr>
                              <a:xfrm>
                                <a:off x="0" y="0"/>
                                <a:ext cx="97790" cy="352044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Condev Nevada, Inc.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7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Condev Nevada, Inc.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78740" cy="3520440"/>
                      <wp:effectExtent l="0" t="0" r="0" b="0"/>
                      <wp:wrapNone/>
                      <wp:docPr id="600" name="Frame599"/>
                      <a:graphic xmlns:a="http://schemas.openxmlformats.org/drawingml/2006/main">
                        <a:graphicData uri="http://schemas.microsoft.com/office/word/2010/wordprocessingShape">
                          <wps:wsp>
                            <wps:cNvSpPr txBox="1"/>
                            <wps:spPr>
                              <a:xfrm>
                                <a:off x="0" y="0"/>
                                <a:ext cx="78740" cy="352044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Store Services,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7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Store Services, Inc.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9215" cy="175260"/>
                      <wp:effectExtent l="0" t="0" r="0" b="0"/>
                      <wp:wrapNone/>
                      <wp:docPr id="601" name="Frame6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9215" cy="1026795"/>
                      <wp:effectExtent l="0" t="0" r="0" b="0"/>
                      <wp:wrapNone/>
                      <wp:docPr id="602" name="Frame601"/>
                      <a:graphic xmlns:a="http://schemas.openxmlformats.org/drawingml/2006/main">
                        <a:graphicData uri="http://schemas.microsoft.com/office/word/2010/wordprocessingShape">
                          <wps:wsp>
                            <wps:cNvSpPr txBox="1"/>
                            <wps:spPr>
                              <a:xfrm>
                                <a:off x="0" y="0"/>
                                <a:ext cx="69215" cy="10267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Arizona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Arizona</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9215" cy="175260"/>
                      <wp:effectExtent l="0" t="0" r="0" b="0"/>
                      <wp:wrapNone/>
                      <wp:docPr id="603" name="Frame6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97790" cy="4253865"/>
                      <wp:effectExtent l="0" t="0" r="0" b="0"/>
                      <wp:wrapNone/>
                      <wp:docPr id="604" name="Frame603"/>
                      <a:graphic xmlns:a="http://schemas.openxmlformats.org/drawingml/2006/main">
                        <a:graphicData uri="http://schemas.microsoft.com/office/word/2010/wordprocessingShape">
                          <wps:wsp>
                            <wps:cNvSpPr txBox="1"/>
                            <wps:spPr>
                              <a:xfrm>
                                <a:off x="0" y="0"/>
                                <a:ext cx="97790" cy="425386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Store Services, Inc.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3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Store Services, Inc. and Dillard's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78740" cy="2493645"/>
                      <wp:effectExtent l="0" t="0" r="0" b="0"/>
                      <wp:wrapNone/>
                      <wp:docPr id="605" name="Frame604"/>
                      <a:graphic xmlns:a="http://schemas.openxmlformats.org/drawingml/2006/main">
                        <a:graphicData uri="http://schemas.microsoft.com/office/word/2010/wordprocessingShape">
                          <wps:wsp>
                            <wps:cNvSpPr txBox="1"/>
                            <wps:spPr>
                              <a:xfrm>
                                <a:off x="0" y="0"/>
                                <a:ext cx="78740" cy="249364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CDI Contractors,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CDI Contractors, LLC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9215" cy="175260"/>
                      <wp:effectExtent l="0" t="0" r="0" b="0"/>
                      <wp:wrapNone/>
                      <wp:docPr id="606" name="Frame6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9215" cy="1173480"/>
                      <wp:effectExtent l="0" t="0" r="0" b="0"/>
                      <wp:wrapNone/>
                      <wp:docPr id="607" name="Frame606"/>
                      <a:graphic xmlns:a="http://schemas.openxmlformats.org/drawingml/2006/main">
                        <a:graphicData uri="http://schemas.microsoft.com/office/word/2010/wordprocessingShape">
                          <wps:wsp>
                            <wps:cNvSpPr txBox="1"/>
                            <wps:spPr>
                              <a:xfrm>
                                <a:off x="0" y="0"/>
                                <a:ext cx="69215" cy="11734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9215" cy="175260"/>
                      <wp:effectExtent l="0" t="0" r="0" b="0"/>
                      <wp:wrapNone/>
                      <wp:docPr id="608" name="Frame6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97790" cy="2200275"/>
                      <wp:effectExtent l="0" t="0" r="0" b="0"/>
                      <wp:wrapNone/>
                      <wp:docPr id="609" name="Frame608"/>
                      <a:graphic xmlns:a="http://schemas.openxmlformats.org/drawingml/2006/main">
                        <a:graphicData uri="http://schemas.microsoft.com/office/word/2010/wordprocessingShape">
                          <wps:wsp>
                            <wps:cNvSpPr txBox="1"/>
                            <wps:spPr>
                              <a:xfrm>
                                <a:off x="0" y="0"/>
                                <a:ext cx="97790" cy="220027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CDI Contractors,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CDI Contractors, LLC</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78740" cy="3520440"/>
                      <wp:effectExtent l="0" t="0" r="0" b="0"/>
                      <wp:wrapNone/>
                      <wp:docPr id="610" name="Frame609"/>
                      <a:graphic xmlns:a="http://schemas.openxmlformats.org/drawingml/2006/main">
                        <a:graphicData uri="http://schemas.microsoft.com/office/word/2010/wordprocessingShape">
                          <wps:wsp>
                            <wps:cNvSpPr txBox="1"/>
                            <wps:spPr>
                              <a:xfrm>
                                <a:off x="0" y="0"/>
                                <a:ext cx="78740" cy="352044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Construction Developers,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7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Construction Developers,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215" cy="175260"/>
                      <wp:effectExtent l="0" t="0" r="0" b="0"/>
                      <wp:wrapNone/>
                      <wp:docPr id="611" name="Frame6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9215" cy="1173480"/>
                      <wp:effectExtent l="0" t="0" r="0" b="0"/>
                      <wp:wrapNone/>
                      <wp:docPr id="612" name="Frame611"/>
                      <a:graphic xmlns:a="http://schemas.openxmlformats.org/drawingml/2006/main">
                        <a:graphicData uri="http://schemas.microsoft.com/office/word/2010/wordprocessingShape">
                          <wps:wsp>
                            <wps:cNvSpPr txBox="1"/>
                            <wps:spPr>
                              <a:xfrm>
                                <a:off x="0" y="0"/>
                                <a:ext cx="69215" cy="11734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9215" cy="175260"/>
                      <wp:effectExtent l="0" t="0" r="0" b="0"/>
                      <wp:wrapNone/>
                      <wp:docPr id="613" name="Frame6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97790" cy="4547235"/>
                      <wp:effectExtent l="0" t="0" r="0" b="0"/>
                      <wp:wrapNone/>
                      <wp:docPr id="614" name="Frame613"/>
                      <a:graphic xmlns:a="http://schemas.openxmlformats.org/drawingml/2006/main">
                        <a:graphicData uri="http://schemas.microsoft.com/office/word/2010/wordprocessingShape">
                          <wps:wsp>
                            <wps:cNvSpPr txBox="1"/>
                            <wps:spPr>
                              <a:xfrm>
                                <a:off x="0" y="0"/>
                                <a:ext cx="97790" cy="454723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Construction Developers,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58.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Construction Developers, LLC and Dillard's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78740" cy="3080385"/>
                      <wp:effectExtent l="0" t="0" r="0" b="0"/>
                      <wp:wrapNone/>
                      <wp:docPr id="615" name="Frame614"/>
                      <a:graphic xmlns:a="http://schemas.openxmlformats.org/drawingml/2006/main">
                        <a:graphicData uri="http://schemas.microsoft.com/office/word/2010/wordprocessingShape">
                          <wps:wsp>
                            <wps:cNvSpPr txBox="1"/>
                            <wps:spPr>
                              <a:xfrm>
                                <a:off x="0" y="0"/>
                                <a:ext cx="78740" cy="308038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International,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International, LLC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9215" cy="175260"/>
                      <wp:effectExtent l="0" t="0" r="0" b="0"/>
                      <wp:wrapNone/>
                      <wp:docPr id="616" name="Frame6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880110"/>
                      <wp:effectExtent l="0" t="0" r="0" b="0"/>
                      <wp:wrapNone/>
                      <wp:docPr id="617" name="Frame616"/>
                      <a:graphic xmlns:a="http://schemas.openxmlformats.org/drawingml/2006/main">
                        <a:graphicData uri="http://schemas.microsoft.com/office/word/2010/wordprocessingShape">
                          <wps:wsp>
                            <wps:cNvSpPr txBox="1"/>
                            <wps:spPr>
                              <a:xfrm>
                                <a:off x="0" y="0"/>
                                <a:ext cx="69215" cy="88011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Nevada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Nevada</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9215" cy="175260"/>
                      <wp:effectExtent l="0" t="0" r="0" b="0"/>
                      <wp:wrapNone/>
                      <wp:docPr id="618" name="Frame6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97790" cy="4107180"/>
                      <wp:effectExtent l="0" t="0" r="0" b="0"/>
                      <wp:wrapNone/>
                      <wp:docPr id="619" name="Frame618"/>
                      <a:graphic xmlns:a="http://schemas.openxmlformats.org/drawingml/2006/main">
                        <a:graphicData uri="http://schemas.microsoft.com/office/word/2010/wordprocessingShape">
                          <wps:wsp>
                            <wps:cNvSpPr txBox="1"/>
                            <wps:spPr>
                              <a:xfrm>
                                <a:off x="0" y="0"/>
                                <a:ext cx="97790" cy="41071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International,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2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International, LLC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78740" cy="3373755"/>
                      <wp:effectExtent l="0" t="0" r="0" b="0"/>
                      <wp:wrapNone/>
                      <wp:docPr id="620" name="Frame619"/>
                      <a:graphic xmlns:a="http://schemas.openxmlformats.org/drawingml/2006/main">
                        <a:graphicData uri="http://schemas.microsoft.com/office/word/2010/wordprocessingShape">
                          <wps:wsp>
                            <wps:cNvSpPr txBox="1"/>
                            <wps:spPr>
                              <a:xfrm>
                                <a:off x="0" y="0"/>
                                <a:ext cx="78740" cy="337375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Investment Co.,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65.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Investment Co., Inc.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9215" cy="175260"/>
                      <wp:effectExtent l="0" t="0" r="0" b="0"/>
                      <wp:wrapNone/>
                      <wp:docPr id="621" name="Frame6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9215" cy="733425"/>
                      <wp:effectExtent l="0" t="0" r="0" b="0"/>
                      <wp:wrapNone/>
                      <wp:docPr id="622" name="Frame621"/>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9215" cy="175260"/>
                      <wp:effectExtent l="0" t="0" r="0" b="0"/>
                      <wp:wrapNone/>
                      <wp:docPr id="623" name="Frame6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97790" cy="4253865"/>
                      <wp:effectExtent l="0" t="0" r="0" b="0"/>
                      <wp:wrapNone/>
                      <wp:docPr id="624" name="Frame623"/>
                      <a:graphic xmlns:a="http://schemas.openxmlformats.org/drawingml/2006/main">
                        <a:graphicData uri="http://schemas.microsoft.com/office/word/2010/wordprocessingShape">
                          <wps:wsp>
                            <wps:cNvSpPr txBox="1"/>
                            <wps:spPr>
                              <a:xfrm>
                                <a:off x="0" y="0"/>
                                <a:ext cx="97790" cy="425386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Investment Co., Inc.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3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Investment Co., Inc. and Dillard's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78740" cy="2640330"/>
                      <wp:effectExtent l="0" t="0" r="0" b="0"/>
                      <wp:wrapNone/>
                      <wp:docPr id="625" name="Frame624"/>
                      <a:graphic xmlns:a="http://schemas.openxmlformats.org/drawingml/2006/main">
                        <a:graphicData uri="http://schemas.microsoft.com/office/word/2010/wordprocessingShape">
                          <wps:wsp>
                            <wps:cNvSpPr txBox="1"/>
                            <wps:spPr>
                              <a:xfrm>
                                <a:off x="0" y="0"/>
                                <a:ext cx="78740" cy="264033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Dollars,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0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Dollars, Inc.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26" name="Frame6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9215" cy="1173480"/>
                      <wp:effectExtent l="0" t="0" r="0" b="0"/>
                      <wp:wrapNone/>
                      <wp:docPr id="627" name="Frame626"/>
                      <a:graphic xmlns:a="http://schemas.openxmlformats.org/drawingml/2006/main">
                        <a:graphicData uri="http://schemas.microsoft.com/office/word/2010/wordprocessingShape">
                          <wps:wsp>
                            <wps:cNvSpPr txBox="1"/>
                            <wps:spPr>
                              <a:xfrm>
                                <a:off x="0" y="0"/>
                                <a:ext cx="69215" cy="11734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9215" cy="175260"/>
                      <wp:effectExtent l="0" t="0" r="0" b="0"/>
                      <wp:wrapNone/>
                      <wp:docPr id="628" name="Frame6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97790" cy="3520440"/>
                      <wp:effectExtent l="0" t="0" r="0" b="0"/>
                      <wp:wrapNone/>
                      <wp:docPr id="629" name="Frame628"/>
                      <a:graphic xmlns:a="http://schemas.openxmlformats.org/drawingml/2006/main">
                        <a:graphicData uri="http://schemas.microsoft.com/office/word/2010/wordprocessingShape">
                          <wps:wsp>
                            <wps:cNvSpPr txBox="1"/>
                            <wps:spPr>
                              <a:xfrm>
                                <a:off x="0" y="0"/>
                                <a:ext cx="97790" cy="352044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Dollars, Inc.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7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Dollars, Inc.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78740" cy="2933700"/>
                      <wp:effectExtent l="0" t="0" r="0" b="0"/>
                      <wp:wrapNone/>
                      <wp:docPr id="630" name="Frame629"/>
                      <a:graphic xmlns:a="http://schemas.openxmlformats.org/drawingml/2006/main">
                        <a:graphicData uri="http://schemas.microsoft.com/office/word/2010/wordprocessingShape">
                          <wps:wsp>
                            <wps:cNvSpPr txBox="1"/>
                            <wps:spPr>
                              <a:xfrm>
                                <a:off x="0" y="0"/>
                                <a:ext cx="78740" cy="293370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The Higbee Company,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The Higbee Company,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9215" cy="175260"/>
                      <wp:effectExtent l="0" t="0" r="0" b="0"/>
                      <wp:wrapNone/>
                      <wp:docPr id="631" name="Frame6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9215" cy="733425"/>
                      <wp:effectExtent l="0" t="0" r="0" b="0"/>
                      <wp:wrapNone/>
                      <wp:docPr id="632" name="Frame631"/>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9215" cy="175260"/>
                      <wp:effectExtent l="0" t="0" r="0" b="0"/>
                      <wp:wrapNone/>
                      <wp:docPr id="633" name="Frame6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97790" cy="4107180"/>
                      <wp:effectExtent l="0" t="0" r="0" b="0"/>
                      <wp:wrapNone/>
                      <wp:docPr id="634" name="Frame633"/>
                      <a:graphic xmlns:a="http://schemas.openxmlformats.org/drawingml/2006/main">
                        <a:graphicData uri="http://schemas.microsoft.com/office/word/2010/wordprocessingShape">
                          <wps:wsp>
                            <wps:cNvSpPr txBox="1"/>
                            <wps:spPr>
                              <a:xfrm>
                                <a:off x="0" y="0"/>
                                <a:ext cx="97790" cy="41071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The Higbee Company,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2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The Higbee Company, LLC and Dillard's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78740" cy="2053590"/>
                      <wp:effectExtent l="0" t="0" r="0" b="0"/>
                      <wp:wrapNone/>
                      <wp:docPr id="635" name="Frame634"/>
                      <a:graphic xmlns:a="http://schemas.openxmlformats.org/drawingml/2006/main">
                        <a:graphicData uri="http://schemas.microsoft.com/office/word/2010/wordprocessingShape">
                          <wps:wsp>
                            <wps:cNvSpPr txBox="1"/>
                            <wps:spPr>
                              <a:xfrm>
                                <a:off x="0" y="0"/>
                                <a:ext cx="78740" cy="205359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U. S. Alpha,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U. S. Alpha, Inc.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9215" cy="175260"/>
                      <wp:effectExtent l="0" t="0" r="0" b="0"/>
                      <wp:wrapNone/>
                      <wp:docPr id="636" name="Frame6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9215" cy="880110"/>
                      <wp:effectExtent l="0" t="0" r="0" b="0"/>
                      <wp:wrapNone/>
                      <wp:docPr id="637" name="Frame636"/>
                      <a:graphic xmlns:a="http://schemas.openxmlformats.org/drawingml/2006/main">
                        <a:graphicData uri="http://schemas.microsoft.com/office/word/2010/wordprocessingShape">
                          <wps:wsp>
                            <wps:cNvSpPr txBox="1"/>
                            <wps:spPr>
                              <a:xfrm>
                                <a:off x="0" y="0"/>
                                <a:ext cx="69215" cy="88011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Nevada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Nevada</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9215" cy="175260"/>
                      <wp:effectExtent l="0" t="0" r="0" b="0"/>
                      <wp:wrapNone/>
                      <wp:docPr id="638" name="Frame6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97790" cy="3080385"/>
                      <wp:effectExtent l="0" t="0" r="0" b="0"/>
                      <wp:wrapNone/>
                      <wp:docPr id="639" name="Frame638"/>
                      <a:graphic xmlns:a="http://schemas.openxmlformats.org/drawingml/2006/main">
                        <a:graphicData uri="http://schemas.microsoft.com/office/word/2010/wordprocessingShape">
                          <wps:wsp>
                            <wps:cNvSpPr txBox="1"/>
                            <wps:spPr>
                              <a:xfrm>
                                <a:off x="0" y="0"/>
                                <a:ext cx="97790" cy="308038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U. S. Alpha, Inc.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U. S. Alpha, Inc.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78740" cy="2200275"/>
                      <wp:effectExtent l="0" t="0" r="0" b="0"/>
                      <wp:wrapNone/>
                      <wp:docPr id="640" name="Frame639"/>
                      <a:graphic xmlns:a="http://schemas.openxmlformats.org/drawingml/2006/main">
                        <a:graphicData uri="http://schemas.microsoft.com/office/word/2010/wordprocessingShape">
                          <wps:wsp>
                            <wps:cNvSpPr txBox="1"/>
                            <wps:spPr>
                              <a:xfrm>
                                <a:off x="0" y="0"/>
                                <a:ext cx="78740" cy="220027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9215" cy="175260"/>
                      <wp:effectExtent l="0" t="0" r="0" b="0"/>
                      <wp:wrapNone/>
                      <wp:docPr id="641" name="Frame6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9215" cy="733425"/>
                      <wp:effectExtent l="0" t="0" r="0" b="0"/>
                      <wp:wrapNone/>
                      <wp:docPr id="642" name="Frame641"/>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9215" cy="175260"/>
                      <wp:effectExtent l="0" t="0" r="0" b="0"/>
                      <wp:wrapNone/>
                      <wp:docPr id="643" name="Frame6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97790" cy="3227070"/>
                      <wp:effectExtent l="0" t="0" r="0" b="0"/>
                      <wp:wrapNone/>
                      <wp:docPr id="644" name="Frame643"/>
                      <a:graphic xmlns:a="http://schemas.openxmlformats.org/drawingml/2006/main">
                        <a:graphicData uri="http://schemas.microsoft.com/office/word/2010/wordprocessingShape">
                          <wps:wsp>
                            <wps:cNvSpPr txBox="1"/>
                            <wps:spPr>
                              <a:xfrm>
                                <a:off x="0" y="0"/>
                                <a:ext cx="97790" cy="322707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54.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LLC and Dillard's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78740" cy="5720715"/>
                      <wp:effectExtent l="0" t="0" r="0" b="0"/>
                      <wp:wrapNone/>
                      <wp:docPr id="645" name="Frame644"/>
                      <a:graphic xmlns:a="http://schemas.openxmlformats.org/drawingml/2006/main">
                        <a:graphicData uri="http://schemas.microsoft.com/office/word/2010/wordprocessingShape">
                          <wps:wsp>
                            <wps:cNvSpPr txBox="1"/>
                            <wps:spPr>
                              <a:xfrm>
                                <a:off x="0" y="0"/>
                                <a:ext cx="78740" cy="572071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Tennessee Operating Limited Partnership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50.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Tennessee Operating Limited Partnership</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9215" cy="175260"/>
                      <wp:effectExtent l="0" t="0" r="0" b="0"/>
                      <wp:wrapNone/>
                      <wp:docPr id="646" name="Frame6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9215" cy="1320165"/>
                      <wp:effectExtent l="0" t="0" r="0" b="0"/>
                      <wp:wrapNone/>
                      <wp:docPr id="647" name="Frame646"/>
                      <a:graphic xmlns:a="http://schemas.openxmlformats.org/drawingml/2006/main">
                        <a:graphicData uri="http://schemas.microsoft.com/office/word/2010/wordprocessingShape">
                          <wps:wsp>
                            <wps:cNvSpPr txBox="1"/>
                            <wps:spPr>
                              <a:xfrm>
                                <a:off x="0" y="0"/>
                                <a:ext cx="69215" cy="132016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Tennessee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03.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Tennessee</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9215" cy="175260"/>
                      <wp:effectExtent l="0" t="0" r="0" b="0"/>
                      <wp:wrapNone/>
                      <wp:docPr id="648" name="Frame6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97790" cy="6600825"/>
                      <wp:effectExtent l="0" t="0" r="0" b="0"/>
                      <wp:wrapNone/>
                      <wp:docPr id="649" name="Frame648"/>
                      <a:graphic xmlns:a="http://schemas.openxmlformats.org/drawingml/2006/main">
                        <a:graphicData uri="http://schemas.microsoft.com/office/word/2010/wordprocessingShape">
                          <wps:wsp>
                            <wps:cNvSpPr txBox="1"/>
                            <wps:spPr>
                              <a:xfrm>
                                <a:off x="0" y="0"/>
                                <a:ext cx="97790" cy="6600825"/>
                              </a:xfrm>
                              <a:prstGeom prst="rect"/>
                              <a:solidFill>
                                <a:srgbClr val="FFFFFF"/>
                              </a:solidFill>
                            </wps:spPr>
                            <wps:txbx>
                              <w:txbxContent>
                                <w:p>
                                  <w:pPr>
                                    <w:pStyle w:val="TableContents"/>
                                    <w:pBdr/>
                                    <w:bidi w:val="0"/>
                                    <w:spacing w:before="0" w:after="30"/>
                                    <w:ind w:left="0" w:right="0" w:hanging="180"/>
                                    <w:jc w:val="left"/>
                                    <w:rPr>
                                      <w:rFonts w:ascii="Times New Roman;Times;serif" w:hAnsi="Times New Roman;Times;serif"/>
                                      <w:sz w:val="20"/>
                                    </w:rPr>
                                  </w:pPr>
                                  <w:r>
                                    <w:rPr>
                                      <w:rFonts w:ascii="Times New Roman;Times;serif" w:hAnsi="Times New Roman;Times;serif"/>
                                      <w:sz w:val="20"/>
                                    </w:rPr>
                                    <w:t>Dillard Tennessee Operating Limited Partnership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519.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80"/>
                              <w:jc w:val="left"/>
                              <w:rPr>
                                <w:rFonts w:ascii="Times New Roman;Times;serif" w:hAnsi="Times New Roman;Times;serif"/>
                                <w:sz w:val="20"/>
                              </w:rPr>
                            </w:pPr>
                            <w:r>
                              <w:rPr>
                                <w:rFonts w:ascii="Times New Roman;Times;serif" w:hAnsi="Times New Roman;Times;serif"/>
                                <w:sz w:val="20"/>
                              </w:rPr>
                              <w:t>Dillard Tennessee Operating Limited Partnership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78740" cy="4253865"/>
                      <wp:effectExtent l="0" t="0" r="0" b="0"/>
                      <wp:wrapNone/>
                      <wp:docPr id="650" name="Frame649"/>
                      <a:graphic xmlns:a="http://schemas.openxmlformats.org/drawingml/2006/main">
                        <a:graphicData uri="http://schemas.microsoft.com/office/word/2010/wordprocessingShape">
                          <wps:wsp>
                            <wps:cNvSpPr txBox="1"/>
                            <wps:spPr>
                              <a:xfrm>
                                <a:off x="0" y="0"/>
                                <a:ext cx="78740" cy="425386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Insurance Company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3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Insurance Company Limited</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9215" cy="175260"/>
                      <wp:effectExtent l="0" t="0" r="0" b="0"/>
                      <wp:wrapNone/>
                      <wp:docPr id="651" name="Frame6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9215" cy="1173480"/>
                      <wp:effectExtent l="0" t="0" r="0" b="0"/>
                      <wp:wrapNone/>
                      <wp:docPr id="652" name="Frame651"/>
                      <a:graphic xmlns:a="http://schemas.openxmlformats.org/drawingml/2006/main">
                        <a:graphicData uri="http://schemas.microsoft.com/office/word/2010/wordprocessingShape">
                          <wps:wsp>
                            <wps:cNvSpPr txBox="1"/>
                            <wps:spPr>
                              <a:xfrm>
                                <a:off x="0" y="0"/>
                                <a:ext cx="69215" cy="11734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9215" cy="175260"/>
                      <wp:effectExtent l="0" t="0" r="0" b="0"/>
                      <wp:wrapNone/>
                      <wp:docPr id="653" name="Frame6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97790" cy="4107180"/>
                      <wp:effectExtent l="0" t="0" r="0" b="0"/>
                      <wp:wrapNone/>
                      <wp:docPr id="654" name="Frame653"/>
                      <a:graphic xmlns:a="http://schemas.openxmlformats.org/drawingml/2006/main">
                        <a:graphicData uri="http://schemas.microsoft.com/office/word/2010/wordprocessingShape">
                          <wps:wsp>
                            <wps:cNvSpPr txBox="1"/>
                            <wps:spPr>
                              <a:xfrm>
                                <a:off x="0" y="0"/>
                                <a:ext cx="97790" cy="41071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Insurance Company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2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Insurance Company Limited</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78740" cy="3520440"/>
                      <wp:effectExtent l="0" t="0" r="0" b="0"/>
                      <wp:wrapNone/>
                      <wp:docPr id="655" name="Frame654"/>
                      <a:graphic xmlns:a="http://schemas.openxmlformats.org/drawingml/2006/main">
                        <a:graphicData uri="http://schemas.microsoft.com/office/word/2010/wordprocessingShape">
                          <wps:wsp>
                            <wps:cNvSpPr txBox="1"/>
                            <wps:spPr>
                              <a:xfrm>
                                <a:off x="0" y="0"/>
                                <a:ext cx="78740" cy="352044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Four-Point,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7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Four-Point, LLC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9215" cy="175260"/>
                      <wp:effectExtent l="0" t="0" r="0" b="0"/>
                      <wp:wrapNone/>
                      <wp:docPr id="656" name="Frame6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9215" cy="733425"/>
                      <wp:effectExtent l="0" t="0" r="0" b="0"/>
                      <wp:wrapNone/>
                      <wp:docPr id="657" name="Frame656"/>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9215" cy="175260"/>
                      <wp:effectExtent l="0" t="0" r="0" b="0"/>
                      <wp:wrapNone/>
                      <wp:docPr id="658" name="Frame6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97790" cy="4547235"/>
                      <wp:effectExtent l="0" t="0" r="0" b="0"/>
                      <wp:wrapNone/>
                      <wp:docPr id="659" name="Frame658"/>
                      <a:graphic xmlns:a="http://schemas.openxmlformats.org/drawingml/2006/main">
                        <a:graphicData uri="http://schemas.microsoft.com/office/word/2010/wordprocessingShape">
                          <wps:wsp>
                            <wps:cNvSpPr txBox="1"/>
                            <wps:spPr>
                              <a:xfrm>
                                <a:off x="0" y="0"/>
                                <a:ext cx="97790" cy="454723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Four-Point,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58.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Four-Point, LLC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78740" cy="2640330"/>
                      <wp:effectExtent l="0" t="0" r="0" b="0"/>
                      <wp:wrapNone/>
                      <wp:docPr id="660" name="Frame659"/>
                      <a:graphic xmlns:a="http://schemas.openxmlformats.org/drawingml/2006/main">
                        <a:graphicData uri="http://schemas.microsoft.com/office/word/2010/wordprocessingShape">
                          <wps:wsp>
                            <wps:cNvSpPr txBox="1"/>
                            <wps:spPr>
                              <a:xfrm>
                                <a:off x="0" y="0"/>
                                <a:ext cx="78740" cy="264033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East,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0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East,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9215" cy="175260"/>
                      <wp:effectExtent l="0" t="0" r="0" b="0"/>
                      <wp:wrapNone/>
                      <wp:docPr id="661" name="Frame6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9215" cy="733425"/>
                      <wp:effectExtent l="0" t="0" r="0" b="0"/>
                      <wp:wrapNone/>
                      <wp:docPr id="662" name="Frame661"/>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9215" cy="175260"/>
                      <wp:effectExtent l="0" t="0" r="0" b="0"/>
                      <wp:wrapNone/>
                      <wp:docPr id="663" name="Frame6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97790" cy="3813810"/>
                      <wp:effectExtent l="0" t="0" r="0" b="0"/>
                      <wp:wrapNone/>
                      <wp:docPr id="664" name="Frame663"/>
                      <a:graphic xmlns:a="http://schemas.openxmlformats.org/drawingml/2006/main">
                        <a:graphicData uri="http://schemas.microsoft.com/office/word/2010/wordprocessingShape">
                          <wps:wsp>
                            <wps:cNvSpPr txBox="1"/>
                            <wps:spPr>
                              <a:xfrm>
                                <a:off x="0" y="0"/>
                                <a:ext cx="97790" cy="381381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East,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00.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East, LLC and Dillard's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78740" cy="2933700"/>
                      <wp:effectExtent l="0" t="0" r="0" b="0"/>
                      <wp:wrapNone/>
                      <wp:docPr id="665" name="Frame664"/>
                      <a:graphic xmlns:a="http://schemas.openxmlformats.org/drawingml/2006/main">
                        <a:graphicData uri="http://schemas.microsoft.com/office/word/2010/wordprocessingShape">
                          <wps:wsp>
                            <wps:cNvSpPr txBox="1"/>
                            <wps:spPr>
                              <a:xfrm>
                                <a:off x="0" y="0"/>
                                <a:ext cx="78740" cy="293370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South,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South, LLC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9215" cy="175260"/>
                      <wp:effectExtent l="0" t="0" r="0" b="0"/>
                      <wp:wrapNone/>
                      <wp:docPr id="666" name="Frame6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9215" cy="733425"/>
                      <wp:effectExtent l="0" t="0" r="0" b="0"/>
                      <wp:wrapNone/>
                      <wp:docPr id="667" name="Frame666"/>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9215" cy="175260"/>
                      <wp:effectExtent l="0" t="0" r="0" b="0"/>
                      <wp:wrapNone/>
                      <wp:docPr id="668" name="Frame6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97790" cy="3960495"/>
                      <wp:effectExtent l="0" t="0" r="0" b="0"/>
                      <wp:wrapNone/>
                      <wp:docPr id="669" name="Frame668"/>
                      <a:graphic xmlns:a="http://schemas.openxmlformats.org/drawingml/2006/main">
                        <a:graphicData uri="http://schemas.microsoft.com/office/word/2010/wordprocessingShape">
                          <wps:wsp>
                            <wps:cNvSpPr txBox="1"/>
                            <wps:spPr>
                              <a:xfrm>
                                <a:off x="0" y="0"/>
                                <a:ext cx="97790" cy="396049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South,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11.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South, LLC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78740" cy="2933700"/>
                      <wp:effectExtent l="0" t="0" r="0" b="0"/>
                      <wp:wrapNone/>
                      <wp:docPr id="670" name="Frame669"/>
                      <a:graphic xmlns:a="http://schemas.openxmlformats.org/drawingml/2006/main">
                        <a:graphicData uri="http://schemas.microsoft.com/office/word/2010/wordprocessingShape">
                          <wps:wsp>
                            <wps:cNvSpPr txBox="1"/>
                            <wps:spPr>
                              <a:xfrm>
                                <a:off x="0" y="0"/>
                                <a:ext cx="78740" cy="293370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Central,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Central,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9215" cy="175260"/>
                      <wp:effectExtent l="0" t="0" r="0" b="0"/>
                      <wp:wrapNone/>
                      <wp:docPr id="671" name="Frame6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9215" cy="733425"/>
                      <wp:effectExtent l="0" t="0" r="0" b="0"/>
                      <wp:wrapNone/>
                      <wp:docPr id="672" name="Frame671"/>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9215" cy="175260"/>
                      <wp:effectExtent l="0" t="0" r="0" b="0"/>
                      <wp:wrapNone/>
                      <wp:docPr id="673" name="Frame6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97790" cy="4107180"/>
                      <wp:effectExtent l="0" t="0" r="0" b="0"/>
                      <wp:wrapNone/>
                      <wp:docPr id="674" name="Frame673"/>
                      <a:graphic xmlns:a="http://schemas.openxmlformats.org/drawingml/2006/main">
                        <a:graphicData uri="http://schemas.microsoft.com/office/word/2010/wordprocessingShape">
                          <wps:wsp>
                            <wps:cNvSpPr txBox="1"/>
                            <wps:spPr>
                              <a:xfrm>
                                <a:off x="0" y="0"/>
                                <a:ext cx="97790" cy="41071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Central,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2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 Texas Central, LLC and Dillard's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78740" cy="1613535"/>
                      <wp:effectExtent l="0" t="0" r="0" b="0"/>
                      <wp:wrapNone/>
                      <wp:docPr id="675" name="Frame674"/>
                      <a:graphic xmlns:a="http://schemas.openxmlformats.org/drawingml/2006/main">
                        <a:graphicData uri="http://schemas.microsoft.com/office/word/2010/wordprocessingShape">
                          <wps:wsp>
                            <wps:cNvSpPr txBox="1"/>
                            <wps:spPr>
                              <a:xfrm>
                                <a:off x="0" y="0"/>
                                <a:ext cx="78740" cy="161353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DSS Uniter,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7.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DSS Uniter, LLC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9215" cy="175260"/>
                      <wp:effectExtent l="0" t="0" r="0" b="0"/>
                      <wp:wrapNone/>
                      <wp:docPr id="676" name="Frame6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9215" cy="733425"/>
                      <wp:effectExtent l="0" t="0" r="0" b="0"/>
                      <wp:wrapNone/>
                      <wp:docPr id="677" name="Frame676"/>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9215" cy="175260"/>
                      <wp:effectExtent l="0" t="0" r="0" b="0"/>
                      <wp:wrapNone/>
                      <wp:docPr id="678" name="Frame6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97790" cy="2933700"/>
                      <wp:effectExtent l="0" t="0" r="0" b="0"/>
                      <wp:wrapNone/>
                      <wp:docPr id="679" name="Frame678"/>
                      <a:graphic xmlns:a="http://schemas.openxmlformats.org/drawingml/2006/main">
                        <a:graphicData uri="http://schemas.microsoft.com/office/word/2010/wordprocessingShape">
                          <wps:wsp>
                            <wps:cNvSpPr txBox="1"/>
                            <wps:spPr>
                              <a:xfrm>
                                <a:off x="0" y="0"/>
                                <a:ext cx="97790" cy="293370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DSS Uniter,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DSS Uniter, LLC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78740" cy="3080385"/>
                      <wp:effectExtent l="0" t="0" r="0" b="0"/>
                      <wp:wrapNone/>
                      <wp:docPr id="680" name="Frame679"/>
                      <a:graphic xmlns:a="http://schemas.openxmlformats.org/drawingml/2006/main">
                        <a:graphicData uri="http://schemas.microsoft.com/office/word/2010/wordprocessingShape">
                          <wps:wsp>
                            <wps:cNvSpPr txBox="1"/>
                            <wps:spPr>
                              <a:xfrm>
                                <a:off x="0" y="0"/>
                                <a:ext cx="78740" cy="308038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Properties,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Properties, Inc.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9215" cy="175260"/>
                      <wp:effectExtent l="0" t="0" r="0" b="0"/>
                      <wp:wrapNone/>
                      <wp:docPr id="681" name="Frame6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9215" cy="733425"/>
                      <wp:effectExtent l="0" t="0" r="0" b="0"/>
                      <wp:wrapNone/>
                      <wp:docPr id="682" name="Frame681"/>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69215" cy="175260"/>
                      <wp:effectExtent l="0" t="0" r="0" b="0"/>
                      <wp:wrapNone/>
                      <wp:docPr id="683" name="Frame6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97790" cy="2493645"/>
                      <wp:effectExtent l="0" t="0" r="0" b="0"/>
                      <wp:wrapNone/>
                      <wp:docPr id="684" name="Frame683"/>
                      <a:graphic xmlns:a="http://schemas.openxmlformats.org/drawingml/2006/main">
                        <a:graphicData uri="http://schemas.microsoft.com/office/word/2010/wordprocessingShape">
                          <wps:wsp>
                            <wps:cNvSpPr txBox="1"/>
                            <wps:spPr>
                              <a:xfrm>
                                <a:off x="0" y="0"/>
                                <a:ext cx="97790" cy="249364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Properties,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9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Properties, Inc.</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78740" cy="2640330"/>
                      <wp:effectExtent l="0" t="0" r="0" b="0"/>
                      <wp:wrapNone/>
                      <wp:docPr id="685" name="Frame684"/>
                      <a:graphic xmlns:a="http://schemas.openxmlformats.org/drawingml/2006/main">
                        <a:graphicData uri="http://schemas.microsoft.com/office/word/2010/wordprocessingShape">
                          <wps:wsp>
                            <wps:cNvSpPr txBox="1"/>
                            <wps:spPr>
                              <a:xfrm>
                                <a:off x="0" y="0"/>
                                <a:ext cx="78740" cy="264033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Higbee InvestCo,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07.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Higbee InvestCo, LLC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9215" cy="175260"/>
                      <wp:effectExtent l="0" t="0" r="0" b="0"/>
                      <wp:wrapNone/>
                      <wp:docPr id="686" name="Frame6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9215" cy="733425"/>
                      <wp:effectExtent l="0" t="0" r="0" b="0"/>
                      <wp:wrapNone/>
                      <wp:docPr id="687" name="Frame686"/>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9215" cy="175260"/>
                      <wp:effectExtent l="0" t="0" r="0" b="0"/>
                      <wp:wrapNone/>
                      <wp:docPr id="688" name="Frame6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97790" cy="3667125"/>
                      <wp:effectExtent l="0" t="0" r="0" b="0"/>
                      <wp:wrapNone/>
                      <wp:docPr id="689" name="Frame688"/>
                      <a:graphic xmlns:a="http://schemas.openxmlformats.org/drawingml/2006/main">
                        <a:graphicData uri="http://schemas.microsoft.com/office/word/2010/wordprocessingShape">
                          <wps:wsp>
                            <wps:cNvSpPr txBox="1"/>
                            <wps:spPr>
                              <a:xfrm>
                                <a:off x="0" y="0"/>
                                <a:ext cx="97790" cy="36671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Higbee InvestCo,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88.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Higbee InvestCo, LLC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78740" cy="4107180"/>
                      <wp:effectExtent l="0" t="0" r="0" b="0"/>
                      <wp:wrapNone/>
                      <wp:docPr id="690" name="Frame689"/>
                      <a:graphic xmlns:a="http://schemas.openxmlformats.org/drawingml/2006/main">
                        <a:graphicData uri="http://schemas.microsoft.com/office/word/2010/wordprocessingShape">
                          <wps:wsp>
                            <wps:cNvSpPr txBox="1"/>
                            <wps:spPr>
                              <a:xfrm>
                                <a:off x="0" y="0"/>
                                <a:ext cx="78740" cy="41071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600 Carnahan Drive Operations,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2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600 Carnahan Drive Operations,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9215" cy="175260"/>
                      <wp:effectExtent l="0" t="0" r="0" b="0"/>
                      <wp:wrapNone/>
                      <wp:docPr id="691" name="Frame6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69215" cy="1173480"/>
                      <wp:effectExtent l="0" t="0" r="0" b="0"/>
                      <wp:wrapNone/>
                      <wp:docPr id="692" name="Frame691"/>
                      <a:graphic xmlns:a="http://schemas.openxmlformats.org/drawingml/2006/main">
                        <a:graphicData uri="http://schemas.microsoft.com/office/word/2010/wordprocessingShape">
                          <wps:wsp>
                            <wps:cNvSpPr txBox="1"/>
                            <wps:spPr>
                              <a:xfrm>
                                <a:off x="0" y="0"/>
                                <a:ext cx="69215" cy="117348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Arkansas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9215" cy="175260"/>
                      <wp:effectExtent l="0" t="0" r="0" b="0"/>
                      <wp:wrapNone/>
                      <wp:docPr id="693" name="Frame6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97790" cy="4927600"/>
                      <wp:effectExtent l="0" t="0" r="0" b="0"/>
                      <wp:wrapNone/>
                      <wp:docPr id="694" name="Frame693"/>
                      <a:graphic xmlns:a="http://schemas.openxmlformats.org/drawingml/2006/main">
                        <a:graphicData uri="http://schemas.microsoft.com/office/word/2010/wordprocessingShape">
                          <wps:wsp>
                            <wps:cNvSpPr txBox="1"/>
                            <wps:spPr>
                              <a:xfrm>
                                <a:off x="0" y="0"/>
                                <a:ext cx="97790" cy="492760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600 Carnahan Drive Operations,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600 Carnahan Drive Operations, LLC and Dillard’s</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78740" cy="2346960"/>
                      <wp:effectExtent l="0" t="0" r="0" b="0"/>
                      <wp:wrapNone/>
                      <wp:docPr id="695" name="Frame694"/>
                      <a:graphic xmlns:a="http://schemas.openxmlformats.org/drawingml/2006/main">
                        <a:graphicData uri="http://schemas.microsoft.com/office/word/2010/wordprocessingShape">
                          <wps:wsp>
                            <wps:cNvSpPr txBox="1"/>
                            <wps:spPr>
                              <a:xfrm>
                                <a:off x="0" y="0"/>
                                <a:ext cx="78740" cy="234696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Utah,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Utah, Inc.</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9215" cy="175260"/>
                      <wp:effectExtent l="0" t="0" r="0" b="0"/>
                      <wp:wrapNone/>
                      <wp:docPr id="696" name="Frame6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69215" cy="586740"/>
                      <wp:effectExtent l="0" t="0" r="0" b="0"/>
                      <wp:wrapNone/>
                      <wp:docPr id="697" name="Frame696"/>
                      <a:graphic xmlns:a="http://schemas.openxmlformats.org/drawingml/2006/main">
                        <a:graphicData uri="http://schemas.microsoft.com/office/word/2010/wordprocessingShape">
                          <wps:wsp>
                            <wps:cNvSpPr txBox="1"/>
                            <wps:spPr>
                              <a:xfrm>
                                <a:off x="0" y="0"/>
                                <a:ext cx="69215" cy="586740"/>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Utah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Utah</w:t>
                            </w:r>
                          </w:p>
                        </w:txbxContent>
                      </v:textbox>
                      <w10:wrap type="none"/>
                    </v:rect>
                  </w:pict>
                </mc:Fallback>
              </mc:AlternateConten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69215" cy="175260"/>
                      <wp:effectExtent l="0" t="0" r="0" b="0"/>
                      <wp:wrapNone/>
                      <wp:docPr id="698" name="Frame6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97790" cy="3080385"/>
                      <wp:effectExtent l="0" t="0" r="0" b="0"/>
                      <wp:wrapNone/>
                      <wp:docPr id="699" name="Frame698"/>
                      <a:graphic xmlns:a="http://schemas.openxmlformats.org/drawingml/2006/main">
                        <a:graphicData uri="http://schemas.microsoft.com/office/word/2010/wordprocessingShape">
                          <wps:wsp>
                            <wps:cNvSpPr txBox="1"/>
                            <wps:spPr>
                              <a:xfrm>
                                <a:off x="0" y="0"/>
                                <a:ext cx="97790" cy="308038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Utah, Inc.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Dillard's Utah, Inc. and Dillard's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78740" cy="2787015"/>
                      <wp:effectExtent l="0" t="0" r="0" b="0"/>
                      <wp:wrapNone/>
                      <wp:docPr id="700" name="Frame699"/>
                      <a:graphic xmlns:a="http://schemas.openxmlformats.org/drawingml/2006/main">
                        <a:graphicData uri="http://schemas.microsoft.com/office/word/2010/wordprocessingShape">
                          <wps:wsp>
                            <wps:cNvSpPr txBox="1"/>
                            <wps:spPr>
                              <a:xfrm>
                                <a:off x="0" y="0"/>
                                <a:ext cx="78740" cy="278701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Higbee Louisiana,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9.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Higbee Louisiana,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9215" cy="175260"/>
                      <wp:effectExtent l="0" t="0" r="0" b="0"/>
                      <wp:wrapNone/>
                      <wp:docPr id="701" name="Frame7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9215" cy="733425"/>
                      <wp:effectExtent l="0" t="0" r="0" b="0"/>
                      <wp:wrapNone/>
                      <wp:docPr id="702" name="Frame701"/>
                      <a:graphic xmlns:a="http://schemas.openxmlformats.org/drawingml/2006/main">
                        <a:graphicData uri="http://schemas.microsoft.com/office/word/2010/wordprocessingShape">
                          <wps:wsp>
                            <wps:cNvSpPr txBox="1"/>
                            <wps:spPr>
                              <a:xfrm>
                                <a:off x="0" y="0"/>
                                <a:ext cx="69215" cy="7334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Texas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69215" cy="175260"/>
                      <wp:effectExtent l="0" t="0" r="0" b="0"/>
                      <wp:wrapNone/>
                      <wp:docPr id="703" name="Frame7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97790" cy="3667125"/>
                      <wp:effectExtent l="0" t="0" r="0" b="0"/>
                      <wp:wrapNone/>
                      <wp:docPr id="704" name="Frame703"/>
                      <a:graphic xmlns:a="http://schemas.openxmlformats.org/drawingml/2006/main">
                        <a:graphicData uri="http://schemas.microsoft.com/office/word/2010/wordprocessingShape">
                          <wps:wsp>
                            <wps:cNvSpPr txBox="1"/>
                            <wps:spPr>
                              <a:xfrm>
                                <a:off x="0" y="0"/>
                                <a:ext cx="97790" cy="3667125"/>
                              </a:xfrm>
                              <a:prstGeom prst="rect"/>
                              <a:solidFill>
                                <a:srgbClr val="FFFFFF"/>
                              </a:solidFill>
                            </wps:spPr>
                            <wps:txb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Higbee Louisiana, LLC and Dillard's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88.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Higbee Louisiana, LLC and Dillard's</w:t>
                            </w:r>
                          </w:p>
                        </w:txbxContent>
                      </v:textbox>
                      <w10:wrap type="none"/>
                    </v:rect>
                  </w:pict>
                </mc:Fallback>
              </mc:AlternateConten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26" w:name="dds-20260131xex23.htm"/>
      <w:bookmarkStart w:id="1527" w:name="ksdds20260131xex23"/>
      <w:bookmarkEnd w:id="1526"/>
      <w:bookmarkEnd w:id="1527"/>
      <w:r>
        <w:rPr>
          <w:rFonts w:ascii="Times New Roman;Times;serif" w:hAnsi="Times New Roman;Times;serif"/>
          <w:b/>
          <w:sz w:val="20"/>
        </w:rPr>
        <w:t>Exhibit 23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registration statements (Nos. 333-239143, 333</w:t>
        <w:noBreakHyphen/>
        <w:t>220063, 333-218299, 333-202574, 333-181623, 333-167937, 333-164361, 333-156029, 333-147636, 333-126000, 333-89180, and 333-89128) on Form S-8 of our report dated March 27, 2026, with respect to the consolidated financial statements of Dillard’s, Inc. and subsidiaries and the effectiveness of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KPMG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Dallas, Texas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March 27,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28" w:name="dds-20260131xex31da.htm"/>
      <w:bookmarkStart w:id="1529" w:name="ksdds20260131xex31da"/>
      <w:bookmarkEnd w:id="1528"/>
      <w:bookmarkEnd w:id="1529"/>
      <w:r>
        <w:rPr>
          <w:rFonts w:ascii="Times New Roman;Times;serif" w:hAnsi="Times New Roman;Times;serif"/>
          <w:b/>
          <w:sz w:val="20"/>
        </w:rPr>
        <w:t>Exhibit 31(a)</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William Dillard, II, certify that:</w:t>
      </w:r>
    </w:p>
    <w:tbl>
      <w:tblPr>
        <w:tblW w:w="5515" w:type="dxa"/>
        <w:jc w:val="left"/>
        <w:tblInd w:w="0" w:type="dxa"/>
        <w:tblLayout w:type="fixed"/>
        <w:tblCellMar>
          <w:top w:w="0" w:type="dxa"/>
          <w:left w:w="0" w:type="dxa"/>
          <w:bottom w:w="0" w:type="dxa"/>
          <w:right w:w="0" w:type="dxa"/>
        </w:tblCellMar>
      </w:tblPr>
      <w:tblGrid>
        <w:gridCol w:w="170"/>
        <w:gridCol w:w="53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Dillard’s,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Date: March 27, 2026</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30"/>
              <w:ind w:left="0" w:right="0" w:hanging="0"/>
              <w:jc w:val="center"/>
              <w:rPr/>
            </w:pPr>
            <w:r>
              <w:rPr/>
              <w:t>​</w: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98425" cy="2053590"/>
                      <wp:effectExtent l="0" t="0" r="0" b="0"/>
                      <wp:wrapNone/>
                      <wp:docPr id="705" name="Frame704"/>
                      <a:graphic xmlns:a="http://schemas.openxmlformats.org/drawingml/2006/main">
                        <a:graphicData uri="http://schemas.microsoft.com/office/word/2010/wordprocessingShape">
                          <wps:wsp>
                            <wps:cNvSpPr txBox="1"/>
                            <wps:spPr>
                              <a:xfrm>
                                <a:off x="0" y="0"/>
                                <a:ext cx="98425" cy="205359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William Dillard, 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William Dillard, II</w:t>
                            </w:r>
                          </w:p>
                        </w:txbxContent>
                      </v:textbox>
                      <w10:wrap type="none"/>
                    </v:rect>
                  </w:pict>
                </mc:Fallback>
              </mc:AlternateContent>
            </w:r>
          </w:p>
        </w:tc>
      </w:tr>
      <w:tr>
        <w:trPr/>
        <w:tc>
          <w:tcPr>
            <w:tcW w:w="124" w:type="dxa"/>
            <w:tcBorders/>
            <w:vAlign w:val="center"/>
          </w:tcPr>
          <w:p>
            <w:pPr>
              <w:pStyle w:val="TableContents"/>
              <w:bidi w:val="0"/>
              <w:spacing w:before="0" w:after="30"/>
              <w:ind w:left="0" w:right="0" w:hanging="0"/>
              <w:jc w:val="center"/>
              <w:rPr/>
            </w:pPr>
            <w:r>
              <w:rPr/>
              <w:t>​</w:t>
            </w:r>
          </w:p>
        </w:tc>
        <w:tc>
          <w:tcPr>
            <w:tcW w:w="15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98425" cy="1760220"/>
                      <wp:effectExtent l="0" t="0" r="0" b="0"/>
                      <wp:wrapNone/>
                      <wp:docPr id="706" name="Frame705"/>
                      <a:graphic xmlns:a="http://schemas.openxmlformats.org/drawingml/2006/main">
                        <a:graphicData uri="http://schemas.microsoft.com/office/word/2010/wordprocessingShape">
                          <wps:wsp>
                            <wps:cNvSpPr txBox="1"/>
                            <wps:spPr>
                              <a:xfrm>
                                <a:off x="0" y="0"/>
                                <a:ext cx="98425" cy="176022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William Dillard, 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William Dillard, II</w:t>
                            </w:r>
                          </w:p>
                        </w:txbxContent>
                      </v:textbox>
                      <w10:wrap type="none"/>
                    </v:rect>
                  </w:pict>
                </mc:Fallback>
              </mc:AlternateContent>
            </w:r>
          </w:p>
        </w:tc>
      </w:tr>
      <w:tr>
        <w:trPr/>
        <w:tc>
          <w:tcPr>
            <w:tcW w:w="124" w:type="dxa"/>
            <w:tcBorders/>
            <w:vAlign w:val="center"/>
          </w:tcPr>
          <w:p>
            <w:pPr>
              <w:pStyle w:val="TableContents"/>
              <w:bidi w:val="0"/>
              <w:spacing w:before="0" w:after="30"/>
              <w:ind w:left="0" w:right="0" w:hanging="0"/>
              <w:jc w:val="center"/>
              <w:rPr/>
            </w:pPr>
            <w:r>
              <w:rPr/>
              <w:t>​</w: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98425" cy="2096770"/>
                      <wp:effectExtent l="0" t="0" r="0" b="0"/>
                      <wp:wrapNone/>
                      <wp:docPr id="707" name="Frame706"/>
                      <a:graphic xmlns:a="http://schemas.openxmlformats.org/drawingml/2006/main">
                        <a:graphicData uri="http://schemas.microsoft.com/office/word/2010/wordprocessingShape">
                          <wps:wsp>
                            <wps:cNvSpPr txBox="1"/>
                            <wps:spPr>
                              <a:xfrm>
                                <a:off x="0" y="0"/>
                                <a:ext cx="98425" cy="20967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Chairman of the Board and 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65.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i/>
                                <w:sz w:val="20"/>
                              </w:rPr>
                            </w:pPr>
                            <w:r>
                              <w:rPr>
                                <w:rFonts w:ascii="Times New Roman;Times;serif" w:hAnsi="Times New Roman;Times;serif"/>
                                <w:i/>
                                <w:sz w:val="20"/>
                              </w:rPr>
                              <w:t>Chairman of the Board and Chief Executive Officer</w:t>
                            </w:r>
                          </w:p>
                        </w:txbxContent>
                      </v:textbox>
                      <w10:wrap type="none"/>
                    </v:rect>
                  </w:pict>
                </mc:Fallback>
              </mc:AlternateConten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30" w:name="dds-20260131xex31db.htm"/>
      <w:bookmarkStart w:id="1531" w:name="ksdds20260131xex31db"/>
      <w:bookmarkEnd w:id="1530"/>
      <w:bookmarkEnd w:id="1531"/>
      <w:r>
        <w:rPr>
          <w:rFonts w:ascii="Times New Roman;Times;serif" w:hAnsi="Times New Roman;Times;serif"/>
          <w:b/>
          <w:sz w:val="20"/>
        </w:rPr>
        <w:t>Exhibit 31(b)</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Phillip R. Watts, certify that:</w:t>
      </w:r>
    </w:p>
    <w:tbl>
      <w:tblPr>
        <w:tblW w:w="5515" w:type="dxa"/>
        <w:jc w:val="left"/>
        <w:tblInd w:w="0" w:type="dxa"/>
        <w:tblLayout w:type="fixed"/>
        <w:tblCellMar>
          <w:top w:w="0" w:type="dxa"/>
          <w:left w:w="0" w:type="dxa"/>
          <w:bottom w:w="0" w:type="dxa"/>
          <w:right w:w="0" w:type="dxa"/>
        </w:tblCellMar>
      </w:tblPr>
      <w:tblGrid>
        <w:gridCol w:w="170"/>
        <w:gridCol w:w="53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Dillard’s,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Date: March 27, 2026</w:t>
      </w:r>
    </w:p>
    <w:tbl>
      <w:tblPr>
        <w:tblW w:w="7475" w:type="dxa"/>
        <w:jc w:val="center"/>
        <w:tblInd w:w="0" w:type="dxa"/>
        <w:tblLayout w:type="fixed"/>
        <w:tblCellMar>
          <w:top w:w="0" w:type="dxa"/>
          <w:left w:w="0" w:type="dxa"/>
          <w:bottom w:w="0" w:type="dxa"/>
          <w:right w:w="0" w:type="dxa"/>
        </w:tblCellMar>
      </w:tblPr>
      <w:tblGrid>
        <w:gridCol w:w="124"/>
        <w:gridCol w:w="7351"/>
      </w:tblGrid>
      <w:tr>
        <w:trPr/>
        <w:tc>
          <w:tcPr>
            <w:tcW w:w="124" w:type="dxa"/>
            <w:tcBorders/>
            <w:vAlign w:val="center"/>
          </w:tcPr>
          <w:p>
            <w:pPr>
              <w:pStyle w:val="TableContents"/>
              <w:bidi w:val="0"/>
              <w:spacing w:before="0" w:after="0"/>
              <w:ind w:left="0" w:right="0" w:hanging="0"/>
              <w:jc w:val="left"/>
              <w:rPr/>
            </w:pPr>
            <w:r>
              <w:rPr/>
              <w:t>​</w:t>
            </w:r>
          </w:p>
        </w:tc>
        <w:tc>
          <w:tcPr>
            <w:tcW w:w="73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00"/>
              <w:ind w:left="0" w:right="0" w:hanging="0"/>
              <w:jc w:val="left"/>
              <w:rPr/>
            </w:pPr>
            <w:r>
              <w:rPr/>
              <w:t>​</w:t>
            </w:r>
          </w:p>
        </w:tc>
        <w:tc>
          <w:tcPr>
            <w:tcW w:w="7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Phillip R. Watts</w:t>
            </w:r>
          </w:p>
        </w:tc>
      </w:tr>
      <w:tr>
        <w:trPr/>
        <w:tc>
          <w:tcPr>
            <w:tcW w:w="124" w:type="dxa"/>
            <w:tcBorders/>
            <w:vAlign w:val="center"/>
          </w:tcPr>
          <w:p>
            <w:pPr>
              <w:pStyle w:val="TableContents"/>
              <w:bidi w:val="0"/>
              <w:spacing w:before="0" w:after="200"/>
              <w:ind w:left="0" w:right="0" w:hanging="0"/>
              <w:jc w:val="left"/>
              <w:rPr/>
            </w:pPr>
            <w:r>
              <w:rPr/>
              <w:t>​</w:t>
            </w:r>
          </w:p>
        </w:tc>
        <w:tc>
          <w:tcPr>
            <w:tcW w:w="73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Phillip R. Watts</w:t>
            </w:r>
          </w:p>
        </w:tc>
      </w:tr>
      <w:tr>
        <w:trPr/>
        <w:tc>
          <w:tcPr>
            <w:tcW w:w="124" w:type="dxa"/>
            <w:tcBorders/>
            <w:vAlign w:val="center"/>
          </w:tcPr>
          <w:p>
            <w:pPr>
              <w:pStyle w:val="TableContents"/>
              <w:bidi w:val="0"/>
              <w:spacing w:before="0" w:after="200"/>
              <w:ind w:left="0" w:right="0" w:hanging="0"/>
              <w:jc w:val="left"/>
              <w:rPr/>
            </w:pPr>
            <w:r>
              <w:rPr/>
              <w:t>​</w:t>
            </w:r>
          </w:p>
        </w:tc>
        <w:tc>
          <w:tcPr>
            <w:tcW w:w="735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Co-Principal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32" w:name="dds-20260131xex31dc.htm"/>
      <w:bookmarkStart w:id="1533" w:name="ksdds20260131xex31dc"/>
      <w:bookmarkEnd w:id="1532"/>
      <w:bookmarkEnd w:id="1533"/>
      <w:r>
        <w:rPr>
          <w:rFonts w:ascii="Times New Roman;Times;serif" w:hAnsi="Times New Roman;Times;serif"/>
          <w:b/>
          <w:sz w:val="20"/>
        </w:rPr>
        <w:t>Exhibit 31(c)</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Chris B. Johnson, certify that:</w:t>
      </w:r>
    </w:p>
    <w:tbl>
      <w:tblPr>
        <w:tblW w:w="5515" w:type="dxa"/>
        <w:jc w:val="left"/>
        <w:tblInd w:w="0" w:type="dxa"/>
        <w:tblLayout w:type="fixed"/>
        <w:tblCellMar>
          <w:top w:w="0" w:type="dxa"/>
          <w:left w:w="0" w:type="dxa"/>
          <w:bottom w:w="0" w:type="dxa"/>
          <w:right w:w="0" w:type="dxa"/>
        </w:tblCellMar>
      </w:tblPr>
      <w:tblGrid>
        <w:gridCol w:w="170"/>
        <w:gridCol w:w="53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Dillard’s,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Date: March 27, 2026</w:t>
      </w:r>
    </w:p>
    <w:tbl>
      <w:tblPr>
        <w:tblW w:w="5000" w:type="dxa"/>
        <w:jc w:val="left"/>
        <w:tblInd w:w="0" w:type="dxa"/>
        <w:tblLayout w:type="fixed"/>
        <w:tblCellMar>
          <w:top w:w="0" w:type="dxa"/>
          <w:left w:w="0" w:type="dxa"/>
          <w:bottom w:w="0" w:type="dxa"/>
          <w:right w:w="0" w:type="dxa"/>
        </w:tblCellMar>
      </w:tblPr>
      <w:tblGrid>
        <w:gridCol w:w="124"/>
        <w:gridCol w:w="4876"/>
      </w:tblGrid>
      <w:tr>
        <w:trPr/>
        <w:tc>
          <w:tcPr>
            <w:tcW w:w="124"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Chris B. Johnson</w:t>
            </w:r>
          </w:p>
        </w:tc>
      </w:tr>
      <w:tr>
        <w:trPr/>
        <w:tc>
          <w:tcPr>
            <w:tcW w:w="124" w:type="dxa"/>
            <w:tcBorders/>
            <w:vAlign w:val="center"/>
          </w:tcPr>
          <w:p>
            <w:pPr>
              <w:pStyle w:val="TableContents"/>
              <w:bidi w:val="0"/>
              <w:spacing w:before="0" w:after="0"/>
              <w:ind w:left="0" w:right="0" w:hanging="0"/>
              <w:jc w:val="left"/>
              <w:rPr/>
            </w:pPr>
            <w:r>
              <w:rPr/>
              <w:t>​</w:t>
            </w:r>
          </w:p>
        </w:tc>
        <w:tc>
          <w:tcPr>
            <w:tcW w:w="48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Chris B. Johnson</w:t>
            </w:r>
          </w:p>
        </w:tc>
      </w:tr>
      <w:tr>
        <w:trPr/>
        <w:tc>
          <w:tcPr>
            <w:tcW w:w="124"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Co-Principal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534" w:name="dds-20260131xex32da.htm"/>
      <w:bookmarkStart w:id="1535" w:name="ksdds20260131xex32da"/>
      <w:bookmarkEnd w:id="1534"/>
      <w:bookmarkEnd w:id="1535"/>
      <w:r>
        <w:rPr>
          <w:rFonts w:ascii="Times New Roman;Times;serif" w:hAnsi="Times New Roman;Times;serif"/>
          <w:b/>
          <w:sz w:val="20"/>
        </w:rPr>
        <w:t>Exhibit 32(a)</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connection with the Annual Report of Dillard’s, Inc. (the "Company") on Form 10-K for the period ended January 31, 2026 as filed with the Securities and Exchange Commission on the date hereof (the "Report"), I, William Dillard, II, Chairman of the Board and Chief Executive Officer of the Company, certify, pursuant to 18 U.S.C. section 1350, as adopted pursuant to Section 906 of the Sarbanes-Oxley Act of 2002, that:</w:t>
      </w:r>
    </w:p>
    <w:tbl>
      <w:tblPr>
        <w:tblW w:w="9993" w:type="dxa"/>
        <w:jc w:val="left"/>
        <w:tblInd w:w="0" w:type="dxa"/>
        <w:tblLayout w:type="fixed"/>
        <w:tblCellMar>
          <w:top w:w="0" w:type="dxa"/>
          <w:left w:w="0" w:type="dxa"/>
          <w:bottom w:w="0" w:type="dxa"/>
          <w:right w:w="0" w:type="dxa"/>
        </w:tblCellMar>
      </w:tblPr>
      <w:tblGrid>
        <w:gridCol w:w="23"/>
        <w:gridCol w:w="245"/>
        <w:gridCol w:w="97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and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Dated: March 27, 2026</w:t>
      </w:r>
    </w:p>
    <w:tbl>
      <w:tblPr>
        <w:tblW w:w="4475" w:type="dxa"/>
        <w:jc w:val="center"/>
        <w:tblInd w:w="0" w:type="dxa"/>
        <w:tblLayout w:type="fixed"/>
        <w:tblCellMar>
          <w:top w:w="0" w:type="dxa"/>
          <w:left w:w="0" w:type="dxa"/>
          <w:bottom w:w="0" w:type="dxa"/>
          <w:right w:w="0" w:type="dxa"/>
        </w:tblCellMar>
      </w:tblPr>
      <w:tblGrid>
        <w:gridCol w:w="124"/>
        <w:gridCol w:w="4351"/>
      </w:tblGrid>
      <w:tr>
        <w:trPr/>
        <w:tc>
          <w:tcPr>
            <w:tcW w:w="124" w:type="dxa"/>
            <w:tcBorders/>
            <w:vAlign w:val="center"/>
          </w:tcPr>
          <w:p>
            <w:pPr>
              <w:pStyle w:val="TableContents"/>
              <w:bidi w:val="0"/>
              <w:spacing w:before="0" w:after="0"/>
              <w:ind w:left="0" w:right="0" w:hanging="0"/>
              <w:jc w:val="left"/>
              <w:rPr/>
            </w:pPr>
            <w:r>
              <w:rPr/>
              <w:t>​</w:t>
            </w:r>
          </w:p>
        </w:tc>
        <w:tc>
          <w:tcPr>
            <w:tcW w:w="43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Dillard, II</w:t>
            </w:r>
          </w:p>
        </w:tc>
      </w:tr>
      <w:tr>
        <w:trPr/>
        <w:tc>
          <w:tcPr>
            <w:tcW w:w="124" w:type="dxa"/>
            <w:tcBorders/>
            <w:vAlign w:val="center"/>
          </w:tcPr>
          <w:p>
            <w:pPr>
              <w:pStyle w:val="TableContents"/>
              <w:bidi w:val="0"/>
              <w:spacing w:before="0" w:after="0"/>
              <w:ind w:left="0" w:right="0" w:hanging="0"/>
              <w:jc w:val="left"/>
              <w:rPr/>
            </w:pPr>
            <w:r>
              <w:rPr/>
              <w:t>​</w:t>
            </w:r>
          </w:p>
        </w:tc>
        <w:tc>
          <w:tcPr>
            <w:tcW w:w="43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Dillard, II</w:t>
            </w:r>
          </w:p>
        </w:tc>
      </w:tr>
      <w:tr>
        <w:trPr/>
        <w:tc>
          <w:tcPr>
            <w:tcW w:w="124" w:type="dxa"/>
            <w:tcBorders/>
            <w:vAlign w:val="center"/>
          </w:tcPr>
          <w:p>
            <w:pPr>
              <w:pStyle w:val="TableContents"/>
              <w:bidi w:val="0"/>
              <w:spacing w:before="0" w:after="0"/>
              <w:ind w:left="0" w:right="0" w:hanging="0"/>
              <w:jc w:val="left"/>
              <w:rPr/>
            </w:pPr>
            <w:r>
              <w:rPr/>
              <w:t>​</w:t>
            </w:r>
          </w:p>
        </w:tc>
        <w:tc>
          <w:tcPr>
            <w:tcW w:w="43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Chairman of the Board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36" w:name="dds-20260131xex32db.htm"/>
      <w:bookmarkStart w:id="1537" w:name="ksdds20260131xex32db"/>
      <w:bookmarkEnd w:id="1536"/>
      <w:bookmarkEnd w:id="1537"/>
      <w:r>
        <w:rPr>
          <w:rFonts w:ascii="Times New Roman;Times;serif" w:hAnsi="Times New Roman;Times;serif"/>
          <w:b/>
          <w:sz w:val="20"/>
        </w:rPr>
        <w:t>Exhibit 32(b)</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Annual Report of Dillard’s, Inc. (the "Company") on Form 10-K for the period ended January 31, 2026 as filed with the Securities and Exchange Commission on the date hereof (the "Report"), I, Phillip R. Watts, Senior Vice President, Co-Principal Financial Officer and Principal Accounting Officer of the Company, certify, pursuant to 18 U.S.C. section 1350, as adopted pursuant to Section 906 of the Sarbanes-Oxley Act of 2002, that:</w:t>
      </w:r>
    </w:p>
    <w:tbl>
      <w:tblPr>
        <w:tblW w:w="9993" w:type="dxa"/>
        <w:jc w:val="left"/>
        <w:tblInd w:w="0" w:type="dxa"/>
        <w:tblLayout w:type="fixed"/>
        <w:tblCellMar>
          <w:top w:w="0" w:type="dxa"/>
          <w:left w:w="0" w:type="dxa"/>
          <w:bottom w:w="0" w:type="dxa"/>
          <w:right w:w="0" w:type="dxa"/>
        </w:tblCellMar>
      </w:tblPr>
      <w:tblGrid>
        <w:gridCol w:w="23"/>
        <w:gridCol w:w="245"/>
        <w:gridCol w:w="97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and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March 27, 2026</w:t>
      </w:r>
    </w:p>
    <w:tbl>
      <w:tblPr>
        <w:tblW w:w="7475" w:type="dxa"/>
        <w:jc w:val="center"/>
        <w:tblInd w:w="0" w:type="dxa"/>
        <w:tblLayout w:type="fixed"/>
        <w:tblCellMar>
          <w:top w:w="0" w:type="dxa"/>
          <w:left w:w="0" w:type="dxa"/>
          <w:bottom w:w="0" w:type="dxa"/>
          <w:right w:w="0" w:type="dxa"/>
        </w:tblCellMar>
      </w:tblPr>
      <w:tblGrid>
        <w:gridCol w:w="124"/>
        <w:gridCol w:w="7351"/>
      </w:tblGrid>
      <w:tr>
        <w:trPr/>
        <w:tc>
          <w:tcPr>
            <w:tcW w:w="124" w:type="dxa"/>
            <w:tcBorders/>
            <w:vAlign w:val="center"/>
          </w:tcPr>
          <w:p>
            <w:pPr>
              <w:pStyle w:val="TableContents"/>
              <w:bidi w:val="0"/>
              <w:spacing w:before="0" w:after="0"/>
              <w:ind w:left="0" w:right="0" w:hanging="0"/>
              <w:jc w:val="left"/>
              <w:rPr/>
            </w:pPr>
            <w:r>
              <w:rPr/>
              <w:t>​</w:t>
            </w:r>
          </w:p>
        </w:tc>
        <w:tc>
          <w:tcPr>
            <w:tcW w:w="73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Phillip R. Watts</w:t>
            </w:r>
          </w:p>
        </w:tc>
      </w:tr>
      <w:tr>
        <w:trPr/>
        <w:tc>
          <w:tcPr>
            <w:tcW w:w="124" w:type="dxa"/>
            <w:tcBorders/>
            <w:vAlign w:val="center"/>
          </w:tcPr>
          <w:p>
            <w:pPr>
              <w:pStyle w:val="TableContents"/>
              <w:bidi w:val="0"/>
              <w:spacing w:before="0" w:after="0"/>
              <w:ind w:left="0" w:right="0" w:hanging="0"/>
              <w:jc w:val="left"/>
              <w:rPr/>
            </w:pPr>
            <w:r>
              <w:rPr/>
              <w:t>​</w:t>
            </w:r>
          </w:p>
        </w:tc>
        <w:tc>
          <w:tcPr>
            <w:tcW w:w="73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Phillip R. Watts</w:t>
            </w:r>
          </w:p>
        </w:tc>
      </w:tr>
      <w:tr>
        <w:trPr/>
        <w:tc>
          <w:tcPr>
            <w:tcW w:w="124" w:type="dxa"/>
            <w:tcBorders/>
            <w:vAlign w:val="center"/>
          </w:tcPr>
          <w:p>
            <w:pPr>
              <w:pStyle w:val="TableContents"/>
              <w:bidi w:val="0"/>
              <w:spacing w:before="0" w:after="0"/>
              <w:ind w:left="0" w:right="0" w:hanging="0"/>
              <w:jc w:val="left"/>
              <w:rPr/>
            </w:pPr>
            <w:r>
              <w:rPr/>
              <w:t>​</w:t>
            </w:r>
          </w:p>
        </w:tc>
        <w:tc>
          <w:tcPr>
            <w:tcW w:w="73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Co-Principal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38" w:name="dds-20260131xex32dc.htm"/>
      <w:bookmarkStart w:id="1539" w:name="ksdds20260131xex32dc"/>
      <w:bookmarkEnd w:id="1538"/>
      <w:bookmarkEnd w:id="1539"/>
      <w:r>
        <w:rPr>
          <w:rFonts w:ascii="Times New Roman;Times;serif" w:hAnsi="Times New Roman;Times;serif"/>
          <w:b/>
          <w:sz w:val="20"/>
        </w:rPr>
        <w:t>Exhibit 32(c)</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Annual Report of Dillard’s, Inc. (the "Company") on Form 10-K for the period ended January 31, 2026 as filed with the Securities and Exchange Commission on the date hereof (the "Report"), I, Chris B. Johnson, Senior Vice President and Co-Principal Financial Officer of the Company, certify, pursuant to 18 U.S.C. section 1350, as adopted pursuant to Section 906 of the Sarbanes-Oxley Act of 2002, that:</w:t>
      </w:r>
    </w:p>
    <w:tbl>
      <w:tblPr>
        <w:tblW w:w="9993" w:type="dxa"/>
        <w:jc w:val="left"/>
        <w:tblInd w:w="0" w:type="dxa"/>
        <w:tblLayout w:type="fixed"/>
        <w:tblCellMar>
          <w:top w:w="0" w:type="dxa"/>
          <w:left w:w="0" w:type="dxa"/>
          <w:bottom w:w="0" w:type="dxa"/>
          <w:right w:w="0" w:type="dxa"/>
        </w:tblCellMar>
      </w:tblPr>
      <w:tblGrid>
        <w:gridCol w:w="23"/>
        <w:gridCol w:w="245"/>
        <w:gridCol w:w="97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and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March 27, 2026</w:t>
      </w:r>
    </w:p>
    <w:tbl>
      <w:tblPr>
        <w:tblW w:w="5000" w:type="dxa"/>
        <w:jc w:val="center"/>
        <w:tblInd w:w="0" w:type="dxa"/>
        <w:tblLayout w:type="fixed"/>
        <w:tblCellMar>
          <w:top w:w="0" w:type="dxa"/>
          <w:left w:w="0" w:type="dxa"/>
          <w:bottom w:w="0" w:type="dxa"/>
          <w:right w:w="0" w:type="dxa"/>
        </w:tblCellMar>
      </w:tblPr>
      <w:tblGrid>
        <w:gridCol w:w="124"/>
        <w:gridCol w:w="4876"/>
      </w:tblGrid>
      <w:tr>
        <w:trPr/>
        <w:tc>
          <w:tcPr>
            <w:tcW w:w="124"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 B. Johnson</w:t>
            </w:r>
          </w:p>
        </w:tc>
      </w:tr>
      <w:tr>
        <w:trPr/>
        <w:tc>
          <w:tcPr>
            <w:tcW w:w="124" w:type="dxa"/>
            <w:tcBorders/>
            <w:vAlign w:val="center"/>
          </w:tcPr>
          <w:p>
            <w:pPr>
              <w:pStyle w:val="TableContents"/>
              <w:bidi w:val="0"/>
              <w:spacing w:before="0" w:after="0"/>
              <w:ind w:left="0" w:right="0" w:hanging="0"/>
              <w:jc w:val="left"/>
              <w:rPr/>
            </w:pPr>
            <w:r>
              <w:rPr/>
              <w:t>​</w:t>
            </w:r>
          </w:p>
        </w:tc>
        <w:tc>
          <w:tcPr>
            <w:tcW w:w="48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 B. Johnson</w:t>
            </w:r>
          </w:p>
        </w:tc>
      </w:tr>
      <w:tr>
        <w:trPr/>
        <w:tc>
          <w:tcPr>
            <w:tcW w:w="124" w:type="dxa"/>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Co-Principal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G 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8917/000110465925080914/tm2524002d1_ex2-1.htm" TargetMode="External"/><Relationship Id="rId4" Type="http://schemas.openxmlformats.org/officeDocument/2006/relationships/hyperlink" Target="https://www.sec.gov/Archives/edgar/data/28917/000110465926032749/tm269181d1_ex2-1.htm" TargetMode="External"/><Relationship Id="rId5" Type="http://schemas.openxmlformats.org/officeDocument/2006/relationships/hyperlink" Target="https://www.sec.gov/Archives/edgar/data/28917/0000028917-97-000007.txt" TargetMode="External"/><Relationship Id="rId6" Type="http://schemas.openxmlformats.org/officeDocument/2006/relationships/hyperlink" Target="https://www.sec.gov/Archives/edgar/data/28917/0000028917-97-000007.txt" TargetMode="External"/><Relationship Id="rId7" Type="http://schemas.openxmlformats.org/officeDocument/2006/relationships/hyperlink" Target="https://www.sec.gov/Archives/edgar/data/28917/0000028917-97-000007.txt" TargetMode="External"/><Relationship Id="rId8" Type="http://schemas.openxmlformats.org/officeDocument/2006/relationships/hyperlink" Target="https://www.sec.gov/Archives/edgar/data/28917/000110465925080914/tm2524002d1_ex3-2.htm" TargetMode="External"/><Relationship Id="rId9" Type="http://schemas.openxmlformats.org/officeDocument/2006/relationships/hyperlink" Target="https://www.sec.gov/Archives/edgar/data/28917/0000028917-95-000002.txt" TargetMode="External"/><Relationship Id="rId10" Type="http://schemas.openxmlformats.org/officeDocument/2006/relationships/hyperlink" Target="https://www.sec.gov/Archives/edgar/data/28917/0000028917-99-000002.txt" TargetMode="External"/><Relationship Id="rId11" Type="http://schemas.openxmlformats.org/officeDocument/2006/relationships/hyperlink" Target="https://www.sec.gov/Archives/edgar/data/28917/000002891701500005/ex10.htm" TargetMode="External"/><Relationship Id="rId12" Type="http://schemas.openxmlformats.org/officeDocument/2006/relationships/hyperlink" Target="https://www.sec.gov/Archives/edgar/data/28917/000002891716000262/dds-01302016xex10e.htm" TargetMode="External"/><Relationship Id="rId13" Type="http://schemas.openxmlformats.org/officeDocument/2006/relationships/hyperlink" Target="https://www.sec.gov/Archives/edgar/data/28917/000002891705000034/ex10_2.htm" TargetMode="External"/><Relationship Id="rId14" Type="http://schemas.openxmlformats.org/officeDocument/2006/relationships/hyperlink" Target="https://www.sec.gov/Archives/edgar/data/28917/000002891724000022/dds-20240504xex10.htm" TargetMode="External"/><Relationship Id="rId15" Type="http://schemas.openxmlformats.org/officeDocument/2006/relationships/hyperlink" Target="https://www.sec.gov/Archives/edgar/data/28917/000114036107022717/ex10_1.htm" TargetMode="External"/><Relationship Id="rId16" Type="http://schemas.openxmlformats.org/officeDocument/2006/relationships/hyperlink" Target="https://www.sec.gov/Archives/edgar/data/28917/000002891724000011/dds-20240203xex10dk.htm" TargetMode="External"/><Relationship Id="rId17" Type="http://schemas.openxmlformats.org/officeDocument/2006/relationships/hyperlink" Target="https://www.sec.gov/Archives/edgar/data/28917/000002891715000067/ddscreditagreement-051515a.htm" TargetMode="External"/><Relationship Id="rId18" Type="http://schemas.openxmlformats.org/officeDocument/2006/relationships/hyperlink" Target="https://www.sec.gov/Archives/edgar/data/28917/000110465917051398/a17-20108_1ex10d1.htm" TargetMode="External"/><Relationship Id="rId19" Type="http://schemas.openxmlformats.org/officeDocument/2006/relationships/hyperlink" Target="https://www.sec.gov/Archives/edgar/data/28917/000002891720000057/dillardssecondamendmentc.htm" TargetMode="External"/><Relationship Id="rId20" Type="http://schemas.openxmlformats.org/officeDocument/2006/relationships/hyperlink" Target="https://www.sec.gov/Archives/edgar/data/28917/000110465921060299/tm2114693d1_ex10-1.htm" TargetMode="External"/><Relationship Id="rId21" Type="http://schemas.openxmlformats.org/officeDocument/2006/relationships/hyperlink" Target="https://www.sec.gov/Archives/edgar/data/28917/000002891723000029/dds-20230729xex10d2.htm" TargetMode="External"/><Relationship Id="rId22" Type="http://schemas.openxmlformats.org/officeDocument/2006/relationships/hyperlink" Target="https://www.sec.gov/Archives/edgar/data/28917/000110465925025069/tm259524d1_ex10-1.htm" TargetMode="External"/><Relationship Id="rId23" Type="http://schemas.openxmlformats.org/officeDocument/2006/relationships/hyperlink" Target="https://www.sec.gov/Archives/edgar/data/28917/000002891725000004/dds-20250201xex19.htm" TargetMode="External"/><Relationship Id="rId24" Type="http://schemas.openxmlformats.org/officeDocument/2006/relationships/hyperlink" Target="https://www.sec.gov/Archives/edgar/data/28917/000002891724000011/dds-20240203xex97.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41622</Words>
  <Characters>230712</Characters>
  <CharactersWithSpaces>274897</CharactersWithSpaces>
  <Paragraphs>8999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