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dds-20260813x8k.htm"/>
      <w:bookmarkStart w:id="1" w:name="ksdds20260813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6501b476_c53b_4bf9_ba12_c8b88cb18875"/>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CURRENT REPORT</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 August 13,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Dillard’s,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Texas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adn5EJNF3U6iBS_AUF0IUw_5_2"/>
      <w:bookmarkStart w:id="4" w:name="Tc_S9EQOf5ibUyxCA8_QYp04w_5_0"/>
      <w:bookmarkStart w:id="5" w:name="Tc_pL4vtauSIUSBjkWKsvAPwg_4_0"/>
      <w:bookmarkStart w:id="6" w:name="Tc_oDTD_fZL10-B-fROc9qlJA_2_2"/>
      <w:bookmarkStart w:id="7" w:name="Tc_RgeUyGlVgkGCeoKo7FoeRw_2_0"/>
      <w:bookmarkStart w:id="8" w:name="_4c3c661e_b4bd_4c73_9180_53864f657ed8"/>
      <w:bookmarkStart w:id="9" w:name="Tc_adn5EJNF3U6iBS_AUF0IUw_5_2"/>
      <w:bookmarkStart w:id="10" w:name="Tc_S9EQOf5ibUyxCA8_QYp04w_5_0"/>
      <w:bookmarkStart w:id="11" w:name="Tc_pL4vtauSIUSBjkWKsvAPwg_4_0"/>
      <w:bookmarkStart w:id="12" w:name="Tc_oDTD_fZL10-B-fROc9qlJA_2_2"/>
      <w:bookmarkStart w:id="13" w:name="Tc_RgeUyGlVgkGCeoKo7FoeRw_2_0"/>
      <w:bookmarkStart w:id="14" w:name="_4c3c661e_b4bd_4c73_9180_53864f657ed8"/>
      <w:bookmarkEnd w:id="9"/>
      <w:bookmarkEnd w:id="10"/>
      <w:bookmarkEnd w:id="11"/>
      <w:bookmarkEnd w:id="12"/>
      <w:bookmarkEnd w:id="13"/>
      <w:bookmarkEnd w:id="14"/>
    </w:p>
    <w:tbl>
      <w:tblPr>
        <w:tblW w:w="4728" w:type="dxa"/>
        <w:jc w:val="left"/>
        <w:tblInd w:w="0" w:type="dxa"/>
        <w:tblLayout w:type="fixed"/>
        <w:tblCellMar>
          <w:top w:w="0" w:type="dxa"/>
          <w:left w:w="0" w:type="dxa"/>
          <w:bottom w:w="0" w:type="dxa"/>
          <w:right w:w="0" w:type="dxa"/>
        </w:tblCellMar>
      </w:tblPr>
      <w:tblGrid>
        <w:gridCol w:w="2926"/>
        <w:gridCol w:w="346"/>
        <w:gridCol w:w="145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58010" cy="175260"/>
                      <wp:effectExtent l="0" t="0" r="0" b="0"/>
                      <wp:wrapNone/>
                      <wp:docPr id="1" name="Frame1"/>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4560" cy="175260"/>
                      <wp:effectExtent l="0" t="0" r="0" b="0"/>
                      <wp:wrapNone/>
                      <wp:docPr id="2" name="Frame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1-6140</w:t>
            </w:r>
          </w:p>
        </w:tc>
        <w:tc>
          <w:tcPr>
            <w:tcW w:w="346" w:type="dxa"/>
            <w:tcBorders/>
            <w:vAlign w:val="center"/>
          </w:tcPr>
          <w:p>
            <w:pPr>
              <w:pStyle w:val="TableContents"/>
              <w:bidi w:val="0"/>
              <w:spacing w:before="0" w:after="0"/>
              <w:ind w:left="0" w:right="0" w:hanging="0"/>
              <w:jc w:val="left"/>
              <w:rPr/>
            </w:pPr>
            <w:r>
              <w:rPr/>
              <w:t>  ​ ​ ​</w:t>
            </w:r>
          </w:p>
        </w:tc>
        <w:tc>
          <w:tcPr>
            <w:tcW w:w="145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71-0388071</w:t>
            </w:r>
          </w:p>
        </w:tc>
      </w:tr>
      <w:tr>
        <w:trPr/>
        <w:tc>
          <w:tcPr>
            <w:tcW w:w="292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br/>
              <w:t>Identification No.)</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29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1600 Cantrell Road</w:t>
              <w:br/>
              <w:t>Little Rock, Arkansas</w:t>
            </w:r>
          </w:p>
        </w:tc>
        <w:tc>
          <w:tcPr>
            <w:tcW w:w="346" w:type="dxa"/>
            <w:tcBorders/>
            <w:vAlign w:val="center"/>
          </w:tcPr>
          <w:p>
            <w:pPr>
              <w:pStyle w:val="TableContents"/>
              <w:bidi w:val="0"/>
              <w:spacing w:before="0" w:after="0"/>
              <w:ind w:left="0" w:right="0" w:hanging="0"/>
              <w:jc w:val="left"/>
              <w:rPr/>
            </w:pPr>
            <w:r>
              <w:rPr/>
              <w:t>​</w:t>
            </w:r>
          </w:p>
        </w:tc>
        <w:tc>
          <w:tcPr>
            <w:tcW w:w="145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72201</w:t>
            </w:r>
          </w:p>
        </w:tc>
      </w:tr>
      <w:tr>
        <w:trPr/>
        <w:tc>
          <w:tcPr>
            <w:tcW w:w="292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(501) 376-5200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5" w:name="Tc_wR4IuRw7Gk-McrNpuKapmQ_7_2"/>
      <w:bookmarkStart w:id="16" w:name="Tc_vSgCEDGHFUCr_xIHifcQEg_5_2"/>
      <w:bookmarkStart w:id="17" w:name="Tc_7xV9-QjUSkGzvBv9s5XPDA_3_2"/>
      <w:bookmarkStart w:id="18" w:name="Tc_iL3SzqOvjEe4Og8rdG1EkQ_1_2"/>
      <w:bookmarkStart w:id="19" w:name="_4a8235ad_08de_4eb7_8b6c_e3f5bfdf37ea"/>
      <w:bookmarkStart w:id="20" w:name="Tc_wR4IuRw7Gk-McrNpuKapmQ_7_2"/>
      <w:bookmarkStart w:id="21" w:name="Tc_vSgCEDGHFUCr_xIHifcQEg_5_2"/>
      <w:bookmarkStart w:id="22" w:name="Tc_7xV9-QjUSkGzvBv9s5XPDA_3_2"/>
      <w:bookmarkStart w:id="23" w:name="Tc_iL3SzqOvjEe4Og8rdG1EkQ_1_2"/>
      <w:bookmarkStart w:id="24" w:name="_4a8235ad_08de_4eb7_8b6c_e3f5bfdf37ea"/>
      <w:bookmarkEnd w:id="20"/>
      <w:bookmarkEnd w:id="21"/>
      <w:bookmarkEnd w:id="22"/>
      <w:bookmarkEnd w:id="23"/>
      <w:bookmarkEnd w:id="24"/>
    </w:p>
    <w:tbl>
      <w:tblPr>
        <w:tblW w:w="8718" w:type="dxa"/>
        <w:jc w:val="left"/>
        <w:tblInd w:w="0" w:type="dxa"/>
        <w:tblLayout w:type="fixed"/>
        <w:tblCellMar>
          <w:top w:w="0" w:type="dxa"/>
          <w:left w:w="0" w:type="dxa"/>
          <w:bottom w:w="0" w:type="dxa"/>
          <w:right w:w="0" w:type="dxa"/>
        </w:tblCellMar>
      </w:tblPr>
      <w:tblGrid>
        <w:gridCol w:w="331"/>
        <w:gridCol w:w="286"/>
        <w:gridCol w:w="8101"/>
      </w:tblGrid>
      <w:tr>
        <w:trPr/>
        <w:tc>
          <w:tcPr>
            <w:tcW w:w="3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144135" cy="175260"/>
                      <wp:effectExtent l="0" t="0" r="0" b="0"/>
                      <wp:wrapNone/>
                      <wp:docPr id="3" name="Frame3"/>
                      <a:graphic xmlns:a="http://schemas.openxmlformats.org/drawingml/2006/main">
                        <a:graphicData uri="http://schemas.microsoft.com/office/word/2010/wordprocessingShape">
                          <wps:wsp>
                            <wps:cNvSpPr txBox="1"/>
                            <wps:spPr>
                              <a:xfrm>
                                <a:off x="0" y="0"/>
                                <a:ext cx="514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8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pBdr/>
        <w:bidi w:val="0"/>
        <w:spacing w:before="0" w:after="0"/>
        <w:ind w:left="0" w:right="0" w:hanging="108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5_GYfanCPkKCA-VN7k9ceg_1_2"/>
      <w:bookmarkStart w:id="26" w:name="Tc_BVmpkG7ns0Ca3oSifvlhYg_1_1"/>
      <w:bookmarkStart w:id="27" w:name="Tc_W2o3iAGc_EGxK1-F3GrItA_1_0"/>
      <w:bookmarkStart w:id="28" w:name="_ec72f86d_96b9_477a_83c1_b4b7eaf3d067"/>
      <w:bookmarkStart w:id="29" w:name="Tc_5_GYfanCPkKCA-VN7k9ceg_1_2"/>
      <w:bookmarkStart w:id="30" w:name="Tc_BVmpkG7ns0Ca3oSifvlhYg_1_1"/>
      <w:bookmarkStart w:id="31" w:name="Tc_W2o3iAGc_EGxK1-F3GrItA_1_0"/>
      <w:bookmarkStart w:id="32" w:name="_ec72f86d_96b9_477a_83c1_b4b7eaf3d067"/>
      <w:bookmarkEnd w:id="29"/>
      <w:bookmarkEnd w:id="30"/>
      <w:bookmarkEnd w:id="31"/>
      <w:bookmarkEnd w:id="32"/>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740" cy="175260"/>
                      <wp:effectExtent l="0" t="0" r="0" b="0"/>
                      <wp:wrapNone/>
                      <wp:docPr id="4" name="Frame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7790" cy="175260"/>
                      <wp:effectExtent l="0" t="0" r="0" b="0"/>
                      <wp:wrapNone/>
                      <wp:docPr id="6" name="Frame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top w:val="single" w:sz="8" w:space="0" w:color="000000"/>
              <w:left w:val="single" w:sz="8" w:space="0" w:color="000000"/>
              <w:bottom w:val="single" w:sz="8" w:space="0" w:color="000000"/>
            </w:tcBorders>
            <w:tcMar>
              <w:top w:w="28" w:type="dxa"/>
              <w:left w:w="43"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1435" cy="1938020"/>
                      <wp:effectExtent l="0" t="0" r="0" b="0"/>
                      <wp:wrapNone/>
                      <wp:docPr id="7" name="Frame7"/>
                      <a:graphic xmlns:a="http://schemas.openxmlformats.org/drawingml/2006/main">
                        <a:graphicData uri="http://schemas.microsoft.com/office/word/2010/wordprocessingShape">
                          <wps:wsp>
                            <wps:cNvSpPr txBox="1"/>
                            <wps:spPr>
                              <a:xfrm>
                                <a:off x="0" y="0"/>
                                <a:ext cx="51435" cy="193802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52.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Title of each class</w:t>
                            </w:r>
                          </w:p>
                        </w:txbxContent>
                      </v:textbox>
                      <w10:wrap type="none"/>
                    </v:rect>
                  </w:pict>
                </mc:Fallback>
              </mc:AlternateContent>
            </w:r>
          </w:p>
        </w:tc>
        <w:tc>
          <w:tcPr>
            <w:tcW w:w="109" w:type="dxa"/>
            <w:tcBorders>
              <w:top w:val="single" w:sz="8" w:space="0" w:color="000000"/>
              <w:left w:val="single" w:sz="8" w:space="0" w:color="000000"/>
              <w:bottom w:val="single" w:sz="8" w:space="0" w:color="000000"/>
            </w:tcBorders>
            <w:tcMar>
              <w:top w:w="28" w:type="dxa"/>
              <w:left w:w="43"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1910" cy="1938020"/>
                      <wp:effectExtent l="0" t="0" r="0" b="0"/>
                      <wp:wrapNone/>
                      <wp:docPr id="8" name="Frame8"/>
                      <a:graphic xmlns:a="http://schemas.openxmlformats.org/drawingml/2006/main">
                        <a:graphicData uri="http://schemas.microsoft.com/office/word/2010/wordprocessingShape">
                          <wps:wsp>
                            <wps:cNvSpPr txBox="1"/>
                            <wps:spPr>
                              <a:xfrm>
                                <a:off x="0" y="0"/>
                                <a:ext cx="41910" cy="193802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52.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Trading Symbol(s)</w:t>
                            </w:r>
                          </w:p>
                        </w:txbxContent>
                      </v:textbox>
                      <w10:wrap type="none"/>
                    </v:rect>
                  </w:pict>
                </mc:Fallback>
              </mc:AlternateContent>
            </w:r>
          </w:p>
        </w:tc>
        <w:tc>
          <w:tcPr>
            <w:tcW w:w="154" w:type="dxa"/>
            <w:tcBorders>
              <w:top w:val="single" w:sz="8" w:space="0" w:color="000000"/>
              <w:left w:val="single" w:sz="8" w:space="0" w:color="000000"/>
              <w:bottom w:val="single" w:sz="8" w:space="0" w:color="000000"/>
              <w:right w:val="single" w:sz="8" w:space="0" w:color="000000"/>
            </w:tcBorders>
            <w:tcMar>
              <w:top w:w="28" w:type="dxa"/>
              <w:left w:w="43" w:type="dxa"/>
              <w:bottom w:w="28" w:type="dxa"/>
              <w:right w:w="43"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3180" cy="1938020"/>
                      <wp:effectExtent l="0" t="0" r="0" b="0"/>
                      <wp:wrapNone/>
                      <wp:docPr id="9" name="Frame9"/>
                      <a:graphic xmlns:a="http://schemas.openxmlformats.org/drawingml/2006/main">
                        <a:graphicData uri="http://schemas.microsoft.com/office/word/2010/wordprocessingShape">
                          <wps:wsp>
                            <wps:cNvSpPr txBox="1"/>
                            <wps:spPr>
                              <a:xfrm>
                                <a:off x="0" y="0"/>
                                <a:ext cx="43180" cy="193802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52.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xbxContent>
                      </v:textbox>
                      <w10:wrap type="none"/>
                    </v:rect>
                  </w:pict>
                </mc:Fallback>
              </mc:AlternateContent>
            </w:r>
          </w:p>
        </w:tc>
      </w:tr>
      <w:tr>
        <w:trPr/>
        <w:tc>
          <w:tcPr>
            <w:tcW w:w="124" w:type="dxa"/>
            <w:tcBorders>
              <w:top w:val="single" w:sz="8" w:space="0" w:color="000000"/>
              <w:left w:val="single" w:sz="8" w:space="0" w:color="000000"/>
              <w:bottom w:val="single" w:sz="8" w:space="0" w:color="000000"/>
            </w:tcBorders>
            <w:tcMar>
              <w:top w:w="28" w:type="dxa"/>
              <w:left w:w="43"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1435" cy="1680845"/>
                      <wp:effectExtent l="0" t="0" r="0" b="0"/>
                      <wp:wrapNone/>
                      <wp:docPr id="10" name="Frame10"/>
                      <a:graphic xmlns:a="http://schemas.openxmlformats.org/drawingml/2006/main">
                        <a:graphicData uri="http://schemas.microsoft.com/office/word/2010/wordprocessingShape">
                          <wps:wsp>
                            <wps:cNvSpPr txBox="1"/>
                            <wps:spPr>
                              <a:xfrm>
                                <a:off x="0" y="0"/>
                                <a:ext cx="51435" cy="168084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Class A Common Stock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2.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Class A Common Stock</w:t>
                            </w:r>
                          </w:p>
                        </w:txbxContent>
                      </v:textbox>
                      <w10:wrap type="none"/>
                    </v:rect>
                  </w:pict>
                </mc:Fallback>
              </mc:AlternateContent>
            </w:r>
          </w:p>
        </w:tc>
        <w:tc>
          <w:tcPr>
            <w:tcW w:w="109" w:type="dxa"/>
            <w:tcBorders>
              <w:top w:val="single" w:sz="8" w:space="0" w:color="000000"/>
              <w:left w:val="single" w:sz="8" w:space="0" w:color="000000"/>
              <w:bottom w:val="single" w:sz="8" w:space="0" w:color="000000"/>
            </w:tcBorders>
            <w:tcMar>
              <w:top w:w="28" w:type="dxa"/>
              <w:left w:w="43"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1910" cy="394335"/>
                      <wp:effectExtent l="0" t="0" r="0" b="0"/>
                      <wp:wrapNone/>
                      <wp:docPr id="11" name="Frame11"/>
                      <a:graphic xmlns:a="http://schemas.openxmlformats.org/drawingml/2006/main">
                        <a:graphicData uri="http://schemas.microsoft.com/office/word/2010/wordprocessingShape">
                          <wps:wsp>
                            <wps:cNvSpPr txBox="1"/>
                            <wps:spPr>
                              <a:xfrm>
                                <a:off x="0" y="0"/>
                                <a:ext cx="41910" cy="39433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DDS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DDS</w:t>
                            </w:r>
                          </w:p>
                        </w:txbxContent>
                      </v:textbox>
                      <w10:wrap type="none"/>
                    </v:rect>
                  </w:pict>
                </mc:Fallback>
              </mc:AlternateContent>
            </w:r>
          </w:p>
        </w:tc>
        <w:tc>
          <w:tcPr>
            <w:tcW w:w="154" w:type="dxa"/>
            <w:tcBorders>
              <w:top w:val="single" w:sz="8" w:space="0" w:color="000000"/>
              <w:left w:val="single" w:sz="8" w:space="0" w:color="000000"/>
              <w:bottom w:val="single" w:sz="8" w:space="0" w:color="000000"/>
              <w:right w:val="single" w:sz="8" w:space="0" w:color="000000"/>
            </w:tcBorders>
            <w:tcMar>
              <w:top w:w="28" w:type="dxa"/>
              <w:left w:w="43" w:type="dxa"/>
              <w:bottom w:w="28" w:type="dxa"/>
              <w:right w:w="43"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3180" cy="1680845"/>
                      <wp:effectExtent l="0" t="0" r="0" b="0"/>
                      <wp:wrapNone/>
                      <wp:docPr id="12" name="Frame12"/>
                      <a:graphic xmlns:a="http://schemas.openxmlformats.org/drawingml/2006/main">
                        <a:graphicData uri="http://schemas.microsoft.com/office/word/2010/wordprocessingShape">
                          <wps:wsp>
                            <wps:cNvSpPr txBox="1"/>
                            <wps:spPr>
                              <a:xfrm>
                                <a:off x="0" y="0"/>
                                <a:ext cx="43180" cy="168084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New York Stock Exchange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2.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New York Stock Exchange</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33" w:name="_7f121f35_921e_42d5_a1d8_388544d50028"/>
      <w:bookmarkEnd w:id="33"/>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13, 2026,</w:t>
      </w:r>
      <w:r>
        <w:rPr>
          <w:rFonts w:ascii="Times New Roman;Times;serif" w:hAnsi="Times New Roman;Times;serif"/>
          <w:sz w:val="20"/>
          <w:shd w:fill="FFFFFF" w:val="clear"/>
        </w:rPr>
        <w:t xml:space="preserve"> </w:t>
      </w:r>
      <w:r>
        <w:rPr>
          <w:rFonts w:ascii="Times New Roman;Times;serif" w:hAnsi="Times New Roman;Times;serif"/>
          <w:sz w:val="20"/>
        </w:rPr>
        <w:t xml:space="preserve">the registrant issued a press release announcing results for the 13 and 26 weeks ended August 1, 2026. A copy of the press release is furnished as Exhibit 99.1 to this current report and is incorporated herein by reference.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bookmarkStart w:id="34" w:name="_987d5c83_ca76_4e34_aca7_513466d8b4ae"/>
      <w:bookmarkEnd w:id="34"/>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0" w:right="0" w:firstLine="720"/>
        <w:jc w:val="left"/>
        <w:rPr/>
      </w:pPr>
      <w:r>
        <w:rPr/>
        <w:t>​</w:t>
      </w:r>
    </w:p>
    <w:tbl>
      <w:tblPr>
        <w:tblW w:w="10023" w:type="dxa"/>
        <w:jc w:val="left"/>
        <w:tblInd w:w="0" w:type="dxa"/>
        <w:tblLayout w:type="fixed"/>
        <w:tblCellMar>
          <w:top w:w="0" w:type="dxa"/>
          <w:left w:w="0" w:type="dxa"/>
          <w:bottom w:w="0" w:type="dxa"/>
          <w:right w:w="0" w:type="dxa"/>
        </w:tblCellMar>
      </w:tblPr>
      <w:tblGrid>
        <w:gridCol w:w="1081"/>
        <w:gridCol w:w="346"/>
        <w:gridCol w:w="859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86435" cy="29210"/>
                      <wp:effectExtent l="0" t="0" r="0" b="0"/>
                      <wp:wrapNone/>
                      <wp:docPr id="13" name="Frame13"/>
                      <a:graphic xmlns:a="http://schemas.openxmlformats.org/drawingml/2006/main">
                        <a:graphicData uri="http://schemas.microsoft.com/office/word/2010/wordprocessingShape">
                          <wps:wsp>
                            <wps:cNvSpPr txBox="1"/>
                            <wps:spPr>
                              <a:xfrm>
                                <a:off x="0" y="0"/>
                                <a:ext cx="686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458460" cy="29210"/>
                      <wp:effectExtent l="0" t="0" r="0" b="0"/>
                      <wp:wrapNone/>
                      <wp:docPr id="14" name="Frame14"/>
                      <a:graphic xmlns:a="http://schemas.openxmlformats.org/drawingml/2006/main">
                        <a:graphicData uri="http://schemas.microsoft.com/office/word/2010/wordprocessingShape">
                          <wps:wsp>
                            <wps:cNvSpPr txBox="1"/>
                            <wps:spPr>
                              <a:xfrm>
                                <a:off x="0" y="0"/>
                                <a:ext cx="5458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vAlign w:val="center"/>
          </w:tcPr>
          <w:p>
            <w:pPr>
              <w:pStyle w:val="TableContents"/>
              <w:bidi w:val="0"/>
              <w:spacing w:before="0" w:after="0"/>
              <w:ind w:left="0" w:right="0" w:hanging="0"/>
              <w:jc w:val="left"/>
              <w:rPr/>
            </w:pPr>
            <w:r>
              <w:rPr/>
              <w:t>  ​ ​ ​</w:t>
            </w:r>
          </w:p>
        </w:tc>
        <w:tc>
          <w:tcPr>
            <w:tcW w:w="8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hyperlink w:anchor="dds-20260813xex99d1.htm">
              <w:r>
                <w:rPr>
                  <w:rStyle w:val="InternetLink"/>
                  <w:rFonts w:ascii="Times New Roman;Times;serif" w:hAnsi="Times New Roman;Times;serif"/>
                  <w:b w:val="false"/>
                  <w:i w:val="false"/>
                  <w:caps w:val="false"/>
                  <w:smallCaps w:val="false"/>
                  <w:sz w:val="20"/>
                </w:rPr>
                <w:t>99.1</w:t>
              </w:r>
            </w:hyperlink>
          </w:p>
        </w:tc>
        <w:tc>
          <w:tcPr>
            <w:tcW w:w="346" w:type="dxa"/>
            <w:tcBorders/>
            <w:vAlign w:val="center"/>
          </w:tcPr>
          <w:p>
            <w:pPr>
              <w:pStyle w:val="TableContents"/>
              <w:bidi w:val="0"/>
              <w:spacing w:before="0" w:after="0"/>
              <w:ind w:left="0" w:right="0" w:hanging="0"/>
              <w:jc w:val="left"/>
              <w:rPr/>
            </w:pPr>
            <w:r>
              <w:rPr/>
              <w:t>​</w:t>
            </w:r>
          </w:p>
        </w:tc>
        <w:tc>
          <w:tcPr>
            <w:tcW w:w="8596" w:type="dxa"/>
            <w:tcBorders/>
            <w:vAlign w:val="center"/>
          </w:tcPr>
          <w:p>
            <w:pPr>
              <w:pStyle w:val="TableContents"/>
              <w:bidi w:val="0"/>
              <w:spacing w:before="0" w:after="0"/>
              <w:ind w:left="0" w:right="0" w:hanging="0"/>
              <w:jc w:val="left"/>
              <w:rPr/>
            </w:pPr>
            <w:hyperlink w:anchor="dds-20260813xex99d1.htm">
              <w:r>
                <w:rPr>
                  <w:rStyle w:val="InternetLink"/>
                  <w:rFonts w:ascii="Times New Roman;Times;serif" w:hAnsi="Times New Roman;Times;serif"/>
                  <w:b w:val="false"/>
                  <w:i w:val="false"/>
                  <w:caps w:val="false"/>
                  <w:smallCaps w:val="false"/>
                  <w:sz w:val="20"/>
                </w:rPr>
                <w:t>Press Release dated August 13, 2026, announcing results for the 13 and 26 weeks ended August 1, 2026.</w:t>
              </w:r>
            </w:hyperlink>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96"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5" w:name="_c43702b4_f3e4_426c_9e07_cc46633e0fca"/>
      <w:bookmarkEnd w:id="35"/>
      <w:r>
        <w:rPr>
          <w:rFonts w:ascii="Times New Roman;Times;serif" w:hAnsi="Times New Roman;Times;serif"/>
          <w:b/>
          <w:sz w:val="20"/>
        </w:rPr>
        <w:t>SIGNATURES</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10145" w:type="dxa"/>
        <w:jc w:val="left"/>
        <w:tblInd w:w="0" w:type="dxa"/>
        <w:tblLayout w:type="fixed"/>
        <w:tblCellMar>
          <w:top w:w="0" w:type="dxa"/>
          <w:left w:w="0" w:type="dxa"/>
          <w:bottom w:w="0" w:type="dxa"/>
          <w:right w:w="0" w:type="dxa"/>
        </w:tblCellMar>
      </w:tblPr>
      <w:tblGrid>
        <w:gridCol w:w="556"/>
        <w:gridCol w:w="1456"/>
        <w:gridCol w:w="346"/>
        <w:gridCol w:w="631"/>
        <w:gridCol w:w="715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53060" cy="175260"/>
                      <wp:effectExtent l="0" t="0" r="0" b="0"/>
                      <wp:wrapNone/>
                      <wp:docPr id="15" name="Frame15"/>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24560" cy="175260"/>
                      <wp:effectExtent l="0" t="0" r="0" b="0"/>
                      <wp:wrapNone/>
                      <wp:docPr id="16" name="Frame1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00685" cy="175260"/>
                      <wp:effectExtent l="0" t="0" r="0" b="0"/>
                      <wp:wrapNone/>
                      <wp:docPr id="17" name="Frame1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544060" cy="175260"/>
                      <wp:effectExtent l="0" t="0" r="0" b="0"/>
                      <wp:wrapNone/>
                      <wp:docPr id="18" name="Frame18"/>
                      <a:graphic xmlns:a="http://schemas.openxmlformats.org/drawingml/2006/main">
                        <a:graphicData uri="http://schemas.microsoft.com/office/word/2010/wordprocessingShape">
                          <wps:wsp>
                            <wps:cNvSpPr txBox="1"/>
                            <wps:spPr>
                              <a:xfrm>
                                <a:off x="0" y="0"/>
                                <a:ext cx="454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31" w:type="dxa"/>
            <w:tcBorders/>
            <w:vAlign w:val="center"/>
          </w:tcPr>
          <w:p>
            <w:pPr>
              <w:pStyle w:val="TableContents"/>
              <w:bidi w:val="0"/>
              <w:spacing w:before="0" w:after="0"/>
              <w:ind w:left="0" w:right="0" w:hanging="0"/>
              <w:jc w:val="left"/>
              <w:rPr/>
            </w:pPr>
            <w:r>
              <w:rPr/>
              <w:t>​</w:t>
            </w:r>
          </w:p>
        </w:tc>
        <w:tc>
          <w:tcPr>
            <w:tcW w:w="715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INC.</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715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c>
        <w:tc>
          <w:tcPr>
            <w:tcW w:w="1456" w:type="dxa"/>
            <w:tcBorders>
              <w:bottom w:val="single" w:sz="8" w:space="0" w:color="000000"/>
            </w:tcBorders>
            <w:tcMar>
              <w:bottom w:w="28" w:type="dxa"/>
            </w:tcM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August 13, 2026</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By:</w:t>
            </w:r>
          </w:p>
        </w:tc>
        <w:tc>
          <w:tcPr>
            <w:tcW w:w="7156" w:type="dxa"/>
            <w:tcBorders>
              <w:bottom w:val="single" w:sz="8" w:space="0" w:color="000000"/>
            </w:tcBorders>
            <w:tcMar>
              <w:bottom w:w="28" w:type="dxa"/>
            </w:tcM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Phillip R. Watts</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Name:</w:t>
            </w:r>
          </w:p>
        </w:tc>
        <w:tc>
          <w:tcPr>
            <w:tcW w:w="7156" w:type="dxa"/>
            <w:tcBorders>
              <w:top w:val="single" w:sz="8" w:space="0" w:color="000000"/>
            </w:tcBorders>
            <w:tcMar>
              <w:top w:w="28" w:type="dxa"/>
            </w:tcM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Phillip R. Watts</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Title:</w:t>
            </w:r>
          </w:p>
        </w:tc>
        <w:tc>
          <w:tcPr>
            <w:tcW w:w="7156" w:type="dxa"/>
            <w:tcBorders/>
            <w:vAlign w:val="center"/>
          </w:tcPr>
          <w:p>
            <w:pPr>
              <w:pStyle w:val="TableContents"/>
              <w:pBdr/>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Senior Vice President, Co-Principal Financial Officer and Principal Accounting Officer</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715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By:</w:t>
            </w:r>
          </w:p>
        </w:tc>
        <w:tc>
          <w:tcPr>
            <w:tcW w:w="7156" w:type="dxa"/>
            <w:tcBorders>
              <w:bottom w:val="single" w:sz="8" w:space="0" w:color="000000"/>
            </w:tcBorders>
            <w:tcMar>
              <w:bottom w:w="28" w:type="dxa"/>
            </w:tcM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Chris B. Johnson</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Name:</w:t>
            </w:r>
          </w:p>
        </w:tc>
        <w:tc>
          <w:tcPr>
            <w:tcW w:w="7156" w:type="dxa"/>
            <w:tcBorders>
              <w:top w:val="single" w:sz="8" w:space="0" w:color="000000"/>
            </w:tcBorders>
            <w:tcMar>
              <w:top w:w="28" w:type="dxa"/>
            </w:tcM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Chris B. Johnson</w:t>
            </w:r>
          </w:p>
        </w:tc>
      </w:tr>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Title:</w:t>
            </w:r>
          </w:p>
        </w:tc>
        <w:tc>
          <w:tcPr>
            <w:tcW w:w="7156" w:type="dxa"/>
            <w:tcBorders/>
            <w:vAlign w:val="center"/>
          </w:tcPr>
          <w:p>
            <w:pPr>
              <w:pStyle w:val="TableContents"/>
              <w:pBdr/>
              <w:bidi w:val="0"/>
              <w:spacing w:before="0" w:after="30"/>
              <w:ind w:left="0" w:right="0" w:hanging="180"/>
              <w:jc w:val="left"/>
              <w:rPr>
                <w:rFonts w:ascii="Times New Roman;Times;serif" w:hAnsi="Times New Roman;Times;serif"/>
                <w:sz w:val="20"/>
              </w:rPr>
            </w:pPr>
            <w:r>
              <w:rPr>
                <w:rFonts w:ascii="Times New Roman;Times;serif" w:hAnsi="Times New Roman;Times;serif"/>
                <w:sz w:val="20"/>
              </w:rPr>
              <w:t xml:space="preserve">Senior Vice President and Co-Principal Financial Officer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00"/>
        <w:ind w:left="0" w:right="0" w:hanging="0"/>
        <w:jc w:val="right"/>
        <w:rPr>
          <w:rFonts w:ascii="Arial;Helvetica;sans-serif" w:hAnsi="Arial;Helvetica;sans-serif"/>
          <w:b/>
          <w:sz w:val="24"/>
        </w:rPr>
      </w:pPr>
      <w:bookmarkStart w:id="36" w:name="dds-20260813xex99d1.htm"/>
      <w:bookmarkStart w:id="37" w:name="ksdds20260813xex99d1"/>
      <w:bookmarkEnd w:id="36"/>
      <w:bookmarkEnd w:id="37"/>
      <w:r>
        <w:rPr>
          <w:rFonts w:ascii="Arial;Helvetica;sans-serif" w:hAnsi="Arial;Helvetica;sans-serif"/>
          <w:b/>
          <w:sz w:val="24"/>
        </w:rPr>
        <w:t>Exhibit 99.1</w:t>
      </w:r>
      <w:r>
        <w:br w:type="page"/>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 xml:space="preserve">Dillard’s, Inc. Reports Second Quarter </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and Year-to-Date Results</w:t>
      </w:r>
    </w:p>
    <w:p>
      <w:pPr>
        <w:pStyle w:val="TextBody"/>
        <w:bidi w:val="0"/>
        <w:spacing w:before="0" w:after="0"/>
        <w:ind w:left="0" w:right="0" w:hanging="0"/>
        <w:jc w:val="center"/>
        <w:rPr/>
      </w:pPr>
      <w:r>
        <w:rPr/>
        <w:t>​</w:t>
      </w:r>
    </w:p>
    <w:p>
      <w:pPr>
        <w:pStyle w:val="TextBody"/>
        <w:bidi w:val="0"/>
        <w:spacing w:before="60" w:after="60"/>
        <w:ind w:left="0" w:right="0" w:hanging="0"/>
        <w:jc w:val="left"/>
        <w:rPr>
          <w:rFonts w:ascii="Arial;Helvetica;sans-serif" w:hAnsi="Arial;Helvetica;sans-serif"/>
          <w:sz w:val="24"/>
        </w:rPr>
      </w:pPr>
      <w:r>
        <w:rPr>
          <w:rFonts w:ascii="Arial;Helvetica;sans-serif" w:hAnsi="Arial;Helvetica;sans-serif"/>
          <w:sz w:val="24"/>
        </w:rPr>
        <w:t>LITTLE ROCK, Ark. (GLOBE NEWSWIRE) – August 13, 2026 - Dillard’s, Inc. (NYSE: DDS) (the “Company” or “Dillard’s”) announced operating results for the 13 and 26 weeks ended August 1, 2026. This release contains certain forward-looking statements. Please refer to the Company’s cautionary statements included below under “Forward-Looking Information.”</w:t>
      </w:r>
    </w:p>
    <w:p>
      <w:pPr>
        <w:pStyle w:val="TextBody"/>
        <w:bidi w:val="0"/>
        <w:spacing w:before="60" w:after="6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6"/>
        </w:rPr>
        <w:t xml:space="preserve">Dillard’s Chief Executive Officer William T. Dillard, II commented on the quarter, </w:t>
      </w:r>
      <w:r>
        <w:rPr>
          <w:rFonts w:ascii="Arial;Helvetica;sans-serif" w:hAnsi="Arial;Helvetica;sans-serif"/>
          <w:sz w:val="20"/>
        </w:rPr>
        <w:t>“</w:t>
      </w:r>
      <w:r>
        <w:rPr>
          <w:rFonts w:ascii="Arial;Helvetica;sans-serif" w:hAnsi="Arial;Helvetica;sans-serif"/>
          <w:b/>
          <w:i/>
          <w:sz w:val="26"/>
        </w:rPr>
        <w:t>Our 1% sales increase points to a somewhat resilient consumer. Retail gross margin of 40.9%, boosted by tariff rebates, helped grow cash flow and the bottom line. We ended the quarter with over $1.2 billion in cash and short-term investments after paying off $96 million in debt.”</w:t>
      </w:r>
    </w:p>
    <w:p>
      <w:pPr>
        <w:pStyle w:val="TextBody"/>
        <w:bidi w:val="0"/>
        <w:spacing w:before="60" w:after="6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Highlights of the Second Quarter (compared to the prior year second quarter):</w:t>
      </w:r>
    </w:p>
    <w:p>
      <w:pPr>
        <w:pStyle w:val="TextBody"/>
        <w:bidi w:val="0"/>
        <w:spacing w:before="60" w:after="60"/>
        <w:ind w:left="0" w:right="0" w:hanging="0"/>
        <w:jc w:val="left"/>
        <w:rPr/>
      </w:pPr>
      <w:r>
        <w:rPr/>
        <w:t>​</w:t>
      </w:r>
    </w:p>
    <w:p>
      <w:pPr>
        <w:pStyle w:val="TextBody"/>
        <w:bidi w:val="0"/>
        <w:spacing w:before="0" w:after="0"/>
        <w:ind w:left="0" w:right="0" w:hanging="0"/>
        <w:jc w:val="left"/>
        <w:rPr/>
      </w:pPr>
      <w:r>
        <w:rPr/>
        <w:t>•</w:t>
      </w:r>
      <w:r>
        <w:rPr>
          <w:rFonts w:ascii="Arial;Helvetica;sans-serif" w:hAnsi="Arial;Helvetica;sans-serif"/>
          <w:b/>
          <w:sz w:val="24"/>
        </w:rPr>
        <w:t>Total retail sales increased 1%</w:t>
      </w:r>
    </w:p>
    <w:tbl>
      <w:tblPr>
        <w:tblW w:w="4503" w:type="dxa"/>
        <w:jc w:val="left"/>
        <w:tblInd w:w="0" w:type="dxa"/>
        <w:tblLayout w:type="fixed"/>
        <w:tblCellMar>
          <w:top w:w="0" w:type="dxa"/>
          <w:left w:w="0" w:type="dxa"/>
          <w:bottom w:w="0" w:type="dxa"/>
          <w:right w:w="0" w:type="dxa"/>
        </w:tblCellMar>
      </w:tblPr>
      <w:tblGrid>
        <w:gridCol w:w="23"/>
        <w:gridCol w:w="110"/>
        <w:gridCol w:w="437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 xml:space="preserve">Comparable store sales increased 1% </w:t>
            </w:r>
          </w:p>
        </w:tc>
      </w:tr>
    </w:tbl>
    <w:tbl>
      <w:tblPr>
        <w:tblW w:w="6228" w:type="dxa"/>
        <w:jc w:val="left"/>
        <w:tblInd w:w="0" w:type="dxa"/>
        <w:tblLayout w:type="fixed"/>
        <w:tblCellMar>
          <w:top w:w="0" w:type="dxa"/>
          <w:left w:w="0" w:type="dxa"/>
          <w:bottom w:w="0" w:type="dxa"/>
          <w:right w:w="0" w:type="dxa"/>
        </w:tblCellMar>
      </w:tblPr>
      <w:tblGrid>
        <w:gridCol w:w="23"/>
        <w:gridCol w:w="110"/>
        <w:gridCol w:w="609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 xml:space="preserve">Net income of $97.7 million compared to $72.8 million </w:t>
            </w:r>
          </w:p>
        </w:tc>
      </w:tr>
    </w:tbl>
    <w:tbl>
      <w:tblPr>
        <w:tblW w:w="5433" w:type="dxa"/>
        <w:jc w:val="left"/>
        <w:tblInd w:w="0" w:type="dxa"/>
        <w:tblLayout w:type="fixed"/>
        <w:tblCellMar>
          <w:top w:w="0" w:type="dxa"/>
          <w:left w:w="0" w:type="dxa"/>
          <w:bottom w:w="0" w:type="dxa"/>
          <w:right w:w="0" w:type="dxa"/>
        </w:tblCellMar>
      </w:tblPr>
      <w:tblGrid>
        <w:gridCol w:w="23"/>
        <w:gridCol w:w="110"/>
        <w:gridCol w:w="530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Earnings per share of $6.25 compared to $4.66</w:t>
            </w:r>
          </w:p>
        </w:tc>
      </w:tr>
    </w:tbl>
    <w:tbl>
      <w:tblPr>
        <w:tblW w:w="7518" w:type="dxa"/>
        <w:jc w:val="left"/>
        <w:tblInd w:w="0" w:type="dxa"/>
        <w:tblLayout w:type="fixed"/>
        <w:tblCellMar>
          <w:top w:w="0" w:type="dxa"/>
          <w:left w:w="0" w:type="dxa"/>
          <w:bottom w:w="0" w:type="dxa"/>
          <w:right w:w="0" w:type="dxa"/>
        </w:tblCellMar>
      </w:tblPr>
      <w:tblGrid>
        <w:gridCol w:w="23"/>
        <w:gridCol w:w="110"/>
        <w:gridCol w:w="738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Retail gross margin of 40.9% of sales compared to 38.1% of sales</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Operating expenses were $443.6 million (29.4% of sales) compared to $434.2 million (28.7% of sales)</w:t>
            </w:r>
          </w:p>
        </w:tc>
      </w:tr>
    </w:tbl>
    <w:tbl>
      <w:tblPr>
        <w:tblW w:w="3708" w:type="dxa"/>
        <w:jc w:val="left"/>
        <w:tblInd w:w="0" w:type="dxa"/>
        <w:tblLayout w:type="fixed"/>
        <w:tblCellMar>
          <w:top w:w="0" w:type="dxa"/>
          <w:left w:w="0" w:type="dxa"/>
          <w:bottom w:w="0" w:type="dxa"/>
          <w:right w:w="0" w:type="dxa"/>
        </w:tblCellMar>
      </w:tblPr>
      <w:tblGrid>
        <w:gridCol w:w="23"/>
        <w:gridCol w:w="11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Ending inventory increased 5%</w:t>
            </w:r>
          </w:p>
        </w:tc>
      </w:tr>
    </w:tbl>
    <w:p>
      <w:pPr>
        <w:pStyle w:val="TextBody"/>
        <w:bidi w:val="0"/>
        <w:spacing w:before="60" w:after="60"/>
        <w:ind w:left="0" w:right="0" w:hanging="0"/>
        <w:jc w:val="left"/>
        <w:rPr/>
      </w:pPr>
      <w:bookmarkStart w:id="38" w:name="_Hlk142314069"/>
      <w:bookmarkEnd w:id="38"/>
      <w:r>
        <w:rPr/>
        <w:t>​</w:t>
      </w:r>
    </w:p>
    <w:p>
      <w:pPr>
        <w:pStyle w:val="TextBody"/>
        <w:bidi w:val="0"/>
        <w:spacing w:before="60" w:after="60"/>
        <w:ind w:left="0" w:right="0" w:hanging="0"/>
        <w:jc w:val="left"/>
        <w:rPr>
          <w:rFonts w:ascii="Arial;Helvetica;sans-serif" w:hAnsi="Arial;Helvetica;sans-serif"/>
          <w:b/>
          <w:sz w:val="24"/>
        </w:rPr>
      </w:pPr>
      <w:r>
        <w:rPr>
          <w:rFonts w:ascii="Arial;Helvetica;sans-serif" w:hAnsi="Arial;Helvetica;sans-serif"/>
          <w:b/>
          <w:sz w:val="24"/>
        </w:rPr>
        <w:t>Second Quarter Results</w:t>
      </w:r>
    </w:p>
    <w:p>
      <w:pPr>
        <w:pStyle w:val="TextBody"/>
        <w:bidi w:val="0"/>
        <w:spacing w:before="60" w:after="6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4"/>
        </w:rPr>
        <w:t>Dillard’s reported net income for the 13 weeks ended August 1, 2026 of $97.7 million, or $6.25 per share, compared to $72.8 million, or $4.66 per share, for the 13 weeks ended August 2, 2025</w:t>
      </w:r>
      <w:bookmarkStart w:id="39" w:name="_Hlk159059500"/>
      <w:bookmarkEnd w:id="39"/>
      <w:r>
        <w:rPr>
          <w:rFonts w:ascii="Arial;Helvetica;sans-serif" w:hAnsi="Arial;Helvetica;sans-serif"/>
          <w:sz w:val="24"/>
        </w:rPr>
        <w:t>.</w:t>
      </w:r>
      <w:r>
        <w:rPr>
          <w:rFonts w:ascii="Arial;Helvetica;sans-serif" w:hAnsi="Arial;Helvetica;sans-serif"/>
          <w:sz w:val="20"/>
        </w:rPr>
        <w:t xml:space="preserve"> </w:t>
      </w:r>
      <w:r>
        <w:rPr>
          <w:rFonts w:ascii="Arial;Helvetica;sans-serif" w:hAnsi="Arial;Helvetica;sans-serif"/>
          <w:sz w:val="24"/>
        </w:rPr>
        <w:t>Net income for the 13 weeks ended August 1, 2026, includes $37.2 million ($28.4 million after tax, or $1.82 per share) in refunds of International Emergency Economic Powers Act (IEEPA) tariffs.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4"/>
        </w:rPr>
      </w:pPr>
      <w:r>
        <w:rPr>
          <w:rFonts w:ascii="Arial;Helvetica;sans-serif" w:hAnsi="Arial;Helvetica;sans-serif"/>
          <w:sz w:val="24"/>
        </w:rPr>
        <w:t xml:space="preserve">Included in net income for the 13 weeks ended August 2, 2025 is a pretax gain of $4.8 million ($3.7 million after tax or $0.24 per share) primarily related to the sale of three properties. </w:t>
      </w:r>
    </w:p>
    <w:p>
      <w:pPr>
        <w:pStyle w:val="TextBody"/>
        <w:bidi w:val="0"/>
        <w:spacing w:before="0" w:after="0"/>
        <w:ind w:left="0" w:right="0" w:hanging="0"/>
        <w:jc w:val="left"/>
        <w:rPr/>
      </w:pPr>
      <w:r>
        <w:rPr/>
        <w:t>​</w:t>
      </w:r>
    </w:p>
    <w:p>
      <w:pPr>
        <w:pStyle w:val="TextBody"/>
        <w:bidi w:val="0"/>
        <w:spacing w:before="60" w:after="60"/>
        <w:ind w:left="0" w:right="0" w:hanging="0"/>
        <w:jc w:val="left"/>
        <w:rPr>
          <w:rFonts w:ascii="Arial;Helvetica;sans-serif" w:hAnsi="Arial;Helvetica;sans-serif"/>
          <w:b/>
          <w:sz w:val="24"/>
        </w:rPr>
      </w:pPr>
      <w:r>
        <w:rPr>
          <w:rFonts w:ascii="Arial;Helvetica;sans-serif" w:hAnsi="Arial;Helvetica;sans-serif"/>
          <w:b/>
          <w:sz w:val="24"/>
        </w:rPr>
        <w:t>Sales – Second Quarter</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sz w:val="24"/>
        </w:rPr>
      </w:pPr>
      <w:r>
        <w:rPr>
          <w:rFonts w:ascii="Arial;Helvetica;sans-serif" w:hAnsi="Arial;Helvetica;sans-serif"/>
          <w:sz w:val="24"/>
        </w:rPr>
        <w:t>Net sales for the 13 weeks ended August 1, 2026 and August 2, 2025 were $1.508 billion and $1.514 billion, respectively. Net sales includes the operations of the Company’s construction business, CDI Contractors, LLC (“CDI”).</w:t>
      </w:r>
    </w:p>
    <w:p>
      <w:pPr>
        <w:pStyle w:val="TextBody"/>
        <w:bidi w:val="0"/>
        <w:spacing w:before="60" w:after="60"/>
        <w:ind w:left="0" w:right="0" w:hanging="0"/>
        <w:jc w:val="left"/>
        <w:rPr/>
      </w:pPr>
      <w:r>
        <w:rPr/>
        <w:t>​</w:t>
      </w:r>
    </w:p>
    <w:p>
      <w:pPr>
        <w:pStyle w:val="TextBody"/>
        <w:bidi w:val="0"/>
        <w:spacing w:before="60" w:after="0"/>
        <w:ind w:left="0" w:right="0" w:hanging="0"/>
        <w:jc w:val="left"/>
        <w:rPr>
          <w:rFonts w:ascii="Arial;Helvetica;sans-serif" w:hAnsi="Arial;Helvetica;sans-serif"/>
          <w:sz w:val="24"/>
        </w:rPr>
      </w:pPr>
      <w:r>
        <w:rPr>
          <w:rFonts w:ascii="Arial;Helvetica;sans-serif" w:hAnsi="Arial;Helvetica;sans-serif"/>
          <w:sz w:val="24"/>
        </w:rPr>
        <w:t xml:space="preserve">Total retail sales (which excludes CDI) for the 13 weeks ended August 1, 2026 and August 2, 2025 were $1.455 billion and $1.447 billion, respectively. Total retail sales increased 1% for the 13 weeks </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left"/>
        <w:rPr>
          <w:rFonts w:ascii="Arial;Helvetica;sans-serif" w:hAnsi="Arial;Helvetica;sans-serif"/>
          <w:sz w:val="24"/>
        </w:rPr>
      </w:pPr>
      <w:r>
        <w:rPr>
          <w:rFonts w:ascii="Arial;Helvetica;sans-serif" w:hAnsi="Arial;Helvetica;sans-serif"/>
          <w:sz w:val="24"/>
        </w:rPr>
        <w:t xml:space="preserve">ended August 1, 2026 compared to the 13 weeks ended August 2, 2025. Sales in comparable stores for the same period increased 1%. </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sz w:val="24"/>
        </w:rPr>
      </w:pPr>
      <w:r>
        <w:rPr>
          <w:rFonts w:ascii="Arial;Helvetica;sans-serif" w:hAnsi="Arial;Helvetica;sans-serif"/>
          <w:sz w:val="24"/>
        </w:rPr>
        <w:t xml:space="preserve">During the second quarter, sales increased significantly in ladies’ accessories and lingerie and moderately in home and furniture. Slight sales increases were noted in shoes, men’s apparel and accessories and cosmetics. Sales decreased moderately in juniors’ and children’s apparel and ladies’ apparel.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Gross Margin – Second Quarter</w:t>
      </w:r>
    </w:p>
    <w:p>
      <w:pPr>
        <w:pStyle w:val="TextBody"/>
        <w:bidi w:val="0"/>
        <w:spacing w:before="60" w:after="6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4"/>
        </w:rPr>
        <w:t xml:space="preserve">Consolidated gross margin </w:t>
      </w:r>
      <w:bookmarkStart w:id="40" w:name="_Hlk142314167"/>
      <w:bookmarkEnd w:id="40"/>
      <w:r>
        <w:rPr>
          <w:rFonts w:ascii="Arial;Helvetica;sans-serif" w:hAnsi="Arial;Helvetica;sans-serif"/>
          <w:sz w:val="24"/>
        </w:rPr>
        <w:t>for the 13 weeks ended August 1, 2026 was 39.7% of sales compared to 36.6% of sales for the 13 weeks ended August 2, 2025.</w:t>
      </w:r>
      <w:r>
        <w:rPr>
          <w:rFonts w:ascii="Arial;Helvetica;sans-serif" w:hAnsi="Arial;Helvetica;sans-serif"/>
          <w:sz w:val="20"/>
        </w:rPr>
        <w:t xml:space="preserve"> </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sz w:val="20"/>
        </w:rPr>
      </w:pPr>
      <w:r>
        <w:rPr>
          <w:rFonts w:ascii="Arial;Helvetica;sans-serif" w:hAnsi="Arial;Helvetica;sans-serif"/>
          <w:sz w:val="24"/>
        </w:rPr>
        <w:t>Retail gross margin</w:t>
      </w:r>
      <w:r>
        <w:rPr>
          <w:rFonts w:ascii="Arial;Helvetica;sans-serif" w:hAnsi="Arial;Helvetica;sans-serif"/>
          <w:sz w:val="20"/>
        </w:rPr>
        <w:t xml:space="preserve"> </w:t>
      </w:r>
      <w:r>
        <w:rPr>
          <w:rFonts w:ascii="Arial;Helvetica;sans-serif" w:hAnsi="Arial;Helvetica;sans-serif"/>
          <w:sz w:val="24"/>
        </w:rPr>
        <w:t xml:space="preserve">for the 13 weeks ended August 1, 2026 was 40.9% of sales compared to 38.1% of sales for the 13 weeks ended August 2, 2025. Retail gross margin was positively impacted (260 basis points of sales) by the aforementioned $37.2 million IEEPA tariff refunds. The Company does not expect any additional significant IEEPA tariff refunds. </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sz w:val="24"/>
        </w:rPr>
      </w:pPr>
      <w:r>
        <w:rPr>
          <w:rFonts w:ascii="Arial;Helvetica;sans-serif" w:hAnsi="Arial;Helvetica;sans-serif"/>
          <w:sz w:val="24"/>
        </w:rPr>
        <w:t xml:space="preserve">Compared to the prior year second quarter and adjusted for the aforementioned IEEPA tariff refunds, retail gross margin increased moderately in ladies’ apparel and increased slightly in cosmetics and home and furniture. Retail gross margin was flat in juniors’ and children’s apparel and decreased slightly in men’s apparel and accessories and shoes. Retail gross margin decreased moderately in ladies’ accessories and lingerie. </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b/>
          <w:sz w:val="24"/>
        </w:rPr>
      </w:pPr>
      <w:r>
        <w:rPr>
          <w:rFonts w:ascii="Arial;Helvetica;sans-serif" w:hAnsi="Arial;Helvetica;sans-serif"/>
          <w:b/>
          <w:sz w:val="24"/>
        </w:rPr>
        <w:t>Selling, General &amp; Administrative Expenses – Second Quarter</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sz w:val="24"/>
        </w:rPr>
      </w:pPr>
      <w:r>
        <w:rPr>
          <w:rFonts w:ascii="Arial;Helvetica;sans-serif" w:hAnsi="Arial;Helvetica;sans-serif"/>
          <w:sz w:val="24"/>
        </w:rPr>
        <w:t>Consolidated selling, general and administrative expenses (“operating expenses”) for the 13 weeks ended August 1, 2026 were $443.6 million (29.4% of sales) and $434.2 million (28.7% of sales) for the 13 weeks ended August 2, 2025. The increase is primarily due to higher payroll and payroll-related expenses.</w:t>
      </w:r>
    </w:p>
    <w:p>
      <w:pPr>
        <w:pStyle w:val="TextBody"/>
        <w:bidi w:val="0"/>
        <w:spacing w:before="60" w:after="6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Highlights of the 26 Weeks (compared to the prior year 26 weeks):</w:t>
      </w:r>
    </w:p>
    <w:p>
      <w:pPr>
        <w:pStyle w:val="TextBody"/>
        <w:bidi w:val="0"/>
        <w:spacing w:before="60" w:after="60"/>
        <w:ind w:left="0" w:right="0" w:hanging="0"/>
        <w:jc w:val="left"/>
        <w:rPr/>
      </w:pPr>
      <w:r>
        <w:rPr/>
        <w:t>​</w:t>
      </w:r>
    </w:p>
    <w:p>
      <w:pPr>
        <w:pStyle w:val="TextBody"/>
        <w:bidi w:val="0"/>
        <w:spacing w:before="0" w:after="0"/>
        <w:ind w:left="0" w:right="0" w:hanging="0"/>
        <w:jc w:val="left"/>
        <w:rPr/>
      </w:pPr>
      <w:r>
        <w:rPr/>
        <w:t>•</w:t>
      </w:r>
      <w:r>
        <w:rPr>
          <w:rFonts w:ascii="Arial;Helvetica;sans-serif" w:hAnsi="Arial;Helvetica;sans-serif"/>
          <w:b/>
          <w:sz w:val="24"/>
        </w:rPr>
        <w:t>Total retail sales increased 2%</w:t>
      </w:r>
    </w:p>
    <w:tbl>
      <w:tblPr>
        <w:tblW w:w="4503" w:type="dxa"/>
        <w:jc w:val="left"/>
        <w:tblInd w:w="0" w:type="dxa"/>
        <w:tblLayout w:type="fixed"/>
        <w:tblCellMar>
          <w:top w:w="0" w:type="dxa"/>
          <w:left w:w="0" w:type="dxa"/>
          <w:bottom w:w="0" w:type="dxa"/>
          <w:right w:w="0" w:type="dxa"/>
        </w:tblCellMar>
      </w:tblPr>
      <w:tblGrid>
        <w:gridCol w:w="23"/>
        <w:gridCol w:w="110"/>
        <w:gridCol w:w="437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 xml:space="preserve">Comparable store sales increased 2% </w:t>
            </w:r>
          </w:p>
        </w:tc>
      </w:tr>
    </w:tbl>
    <w:tbl>
      <w:tblPr>
        <w:tblW w:w="6498" w:type="dxa"/>
        <w:jc w:val="left"/>
        <w:tblInd w:w="0" w:type="dxa"/>
        <w:tblLayout w:type="fixed"/>
        <w:tblCellMar>
          <w:top w:w="0" w:type="dxa"/>
          <w:left w:w="0" w:type="dxa"/>
          <w:bottom w:w="0" w:type="dxa"/>
          <w:right w:w="0" w:type="dxa"/>
        </w:tblCellMar>
      </w:tblPr>
      <w:tblGrid>
        <w:gridCol w:w="23"/>
        <w:gridCol w:w="110"/>
        <w:gridCol w:w="636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 xml:space="preserve">Net income of $348.2 million compared to $236.7 million </w:t>
            </w:r>
          </w:p>
        </w:tc>
      </w:tr>
    </w:tbl>
    <w:tbl>
      <w:tblPr>
        <w:tblW w:w="5703" w:type="dxa"/>
        <w:jc w:val="left"/>
        <w:tblInd w:w="0" w:type="dxa"/>
        <w:tblLayout w:type="fixed"/>
        <w:tblCellMar>
          <w:top w:w="0" w:type="dxa"/>
          <w:left w:w="0" w:type="dxa"/>
          <w:bottom w:w="0" w:type="dxa"/>
          <w:right w:w="0" w:type="dxa"/>
        </w:tblCellMar>
      </w:tblPr>
      <w:tblGrid>
        <w:gridCol w:w="23"/>
        <w:gridCol w:w="110"/>
        <w:gridCol w:w="557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Earnings per share of $22.30 compared to $15.08</w:t>
            </w:r>
          </w:p>
        </w:tc>
      </w:tr>
    </w:tbl>
    <w:tbl>
      <w:tblPr>
        <w:tblW w:w="7518" w:type="dxa"/>
        <w:jc w:val="left"/>
        <w:tblInd w:w="0" w:type="dxa"/>
        <w:tblLayout w:type="fixed"/>
        <w:tblCellMar>
          <w:top w:w="0" w:type="dxa"/>
          <w:left w:w="0" w:type="dxa"/>
          <w:bottom w:w="0" w:type="dxa"/>
          <w:right w:w="0" w:type="dxa"/>
        </w:tblCellMar>
      </w:tblPr>
      <w:tblGrid>
        <w:gridCol w:w="23"/>
        <w:gridCol w:w="110"/>
        <w:gridCol w:w="738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Retail gross margin of 43.4% of sales compared to 41.8% of sales</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Operating expenses were $887.6 million (28.9% of sales) compared to $855.9 million (28.1% of sales)</w:t>
            </w:r>
          </w:p>
        </w:tc>
      </w:tr>
    </w:tbl>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b/>
          <w:sz w:val="24"/>
        </w:rPr>
      </w:pPr>
      <w:r>
        <w:rPr>
          <w:rFonts w:ascii="Arial;Helvetica;sans-serif" w:hAnsi="Arial;Helvetica;sans-serif"/>
          <w:b/>
          <w:sz w:val="24"/>
        </w:rPr>
        <w:t>26-Week Results</w:t>
      </w:r>
    </w:p>
    <w:p>
      <w:pPr>
        <w:pStyle w:val="TextBody"/>
        <w:bidi w:val="0"/>
        <w:spacing w:before="60" w:after="60"/>
        <w:ind w:left="0" w:right="0" w:hanging="0"/>
        <w:jc w:val="left"/>
        <w:rPr/>
      </w:pPr>
      <w:r>
        <w:rPr/>
        <w:t>​</w:t>
      </w:r>
    </w:p>
    <w:p>
      <w:pPr>
        <w:pStyle w:val="TextBody"/>
        <w:bidi w:val="0"/>
        <w:spacing w:before="0" w:after="0"/>
        <w:ind w:left="0" w:right="0" w:hanging="0"/>
        <w:jc w:val="left"/>
        <w:rPr>
          <w:rFonts w:ascii="Arial;Helvetica;sans-serif" w:hAnsi="Arial;Helvetica;sans-serif"/>
          <w:sz w:val="24"/>
        </w:rPr>
      </w:pPr>
      <w:r>
        <w:rPr>
          <w:rFonts w:ascii="Arial;Helvetica;sans-serif" w:hAnsi="Arial;Helvetica;sans-serif"/>
          <w:sz w:val="24"/>
        </w:rPr>
        <w:t xml:space="preserve">Dillard’s reported net income for the 26 weeks ended August 1, 2026 of $348.2 million, or $22.30 per share, compared to $236.7 million, or $15.08 per share, for the 26 weeks ended August 2, 2025. Included in net income for the 26 weeks ended August 1, 2026 are these items: </w:t>
      </w:r>
    </w:p>
    <w:p>
      <w:pPr>
        <w:pStyle w:val="HorizontalLine"/>
        <w:pBdr>
          <w:bottom w:val="double" w:sz="2" w:space="0" w:color="808080"/>
        </w:pBdr>
        <w:bidi w:val="0"/>
        <w:spacing w:before="0" w:after="283"/>
        <w:jc w:val="left"/>
        <w:rPr/>
      </w:pPr>
      <w:r>
        <w:rPr/>
      </w:r>
    </w:p>
    <w:tbl>
      <w:tblPr>
        <w:tblW w:w="8883" w:type="dxa"/>
        <w:jc w:val="left"/>
        <w:tblInd w:w="0" w:type="dxa"/>
        <w:tblLayout w:type="fixed"/>
        <w:tblCellMar>
          <w:top w:w="0" w:type="dxa"/>
          <w:left w:w="0" w:type="dxa"/>
          <w:bottom w:w="0" w:type="dxa"/>
          <w:right w:w="0" w:type="dxa"/>
        </w:tblCellMar>
      </w:tblPr>
      <w:tblGrid>
        <w:gridCol w:w="23"/>
        <w:gridCol w:w="170"/>
        <w:gridCol w:w="8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$37.2 million ($28.4 million after tax, or $1.82 per share) in refunds of IEEPA tariffs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a pre-tax gain on litigation settlement, net of legal fees, of $104.1 million ($79.6 million after tax or $5.10 per share) related to the Company’s favorable settlement of a long-standing lawsuit involving payment card interchange fees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4"/>
        </w:rPr>
      </w:pPr>
      <w:r>
        <w:rPr>
          <w:rFonts w:ascii="Arial;Helvetica;sans-serif" w:hAnsi="Arial;Helvetica;sans-serif"/>
          <w:sz w:val="24"/>
        </w:rPr>
        <w:t>Included in net income for the 26 weeks ended August 2, 2025 is a pretax gain of $4.9 million ($3.8 million after tax or $0.24 per share) primarily related to the sale of three properties.</w:t>
      </w:r>
    </w:p>
    <w:p>
      <w:pPr>
        <w:pStyle w:val="TextBody"/>
        <w:bidi w:val="0"/>
        <w:spacing w:before="0" w:after="0"/>
        <w:ind w:left="0" w:right="0" w:hanging="0"/>
        <w:jc w:val="left"/>
        <w:rPr/>
      </w:pPr>
      <w:r>
        <w:rPr/>
        <w:t>​</w:t>
      </w:r>
    </w:p>
    <w:p>
      <w:pPr>
        <w:pStyle w:val="TextBody"/>
        <w:bidi w:val="0"/>
        <w:spacing w:before="60" w:after="60"/>
        <w:ind w:left="0" w:right="0" w:hanging="0"/>
        <w:jc w:val="left"/>
        <w:rPr>
          <w:rFonts w:ascii="Arial;Helvetica;sans-serif" w:hAnsi="Arial;Helvetica;sans-serif"/>
          <w:b/>
          <w:sz w:val="24"/>
        </w:rPr>
      </w:pPr>
      <w:r>
        <w:rPr>
          <w:rFonts w:ascii="Arial;Helvetica;sans-serif" w:hAnsi="Arial;Helvetica;sans-serif"/>
          <w:b/>
          <w:sz w:val="24"/>
        </w:rPr>
        <w:t>Sales – 26 Weeks</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sz w:val="24"/>
        </w:rPr>
      </w:pPr>
      <w:r>
        <w:rPr>
          <w:rFonts w:ascii="Arial;Helvetica;sans-serif" w:hAnsi="Arial;Helvetica;sans-serif"/>
          <w:sz w:val="24"/>
        </w:rPr>
        <w:t xml:space="preserve">Net sales for the 26 weeks ended August 1, 2026 and August 2, 2025 were $3.076 billion and $3.043 billion, respectively. </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sz w:val="24"/>
        </w:rPr>
      </w:pPr>
      <w:r>
        <w:rPr>
          <w:rFonts w:ascii="Arial;Helvetica;sans-serif" w:hAnsi="Arial;Helvetica;sans-serif"/>
          <w:sz w:val="24"/>
        </w:rPr>
        <w:t xml:space="preserve">Total retail sales for the 26 weeks ended August 1, 2026 and August 2, 2025 were $2.973 billion and $2.915 billion, respectively. Total retail sales increased 2% for the 26 weeks ended August 1, 2026 compared to the 26 weeks ended August 2, 2025. Sales in comparable stores for the same period increased 2%.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Gross Margin – 26 Weeks</w:t>
      </w:r>
    </w:p>
    <w:p>
      <w:pPr>
        <w:pStyle w:val="TextBody"/>
        <w:bidi w:val="0"/>
        <w:spacing w:before="60" w:after="6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4"/>
        </w:rPr>
        <w:t>Consolidated gross margin for the 26 weeks ended August 1, 2026 was 42.1% of sales compared to 40.3% of sales for the 26 weeks ended August 2, 2025.</w:t>
      </w:r>
      <w:r>
        <w:rPr>
          <w:rFonts w:ascii="Arial;Helvetica;sans-serif" w:hAnsi="Arial;Helvetica;sans-serif"/>
          <w:sz w:val="20"/>
        </w:rPr>
        <w:t xml:space="preserve"> </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sz w:val="20"/>
        </w:rPr>
      </w:pPr>
      <w:r>
        <w:rPr>
          <w:rFonts w:ascii="Arial;Helvetica;sans-serif" w:hAnsi="Arial;Helvetica;sans-serif"/>
          <w:sz w:val="24"/>
        </w:rPr>
        <w:t>Retail gross margin</w:t>
      </w:r>
      <w:r>
        <w:rPr>
          <w:rFonts w:ascii="Arial;Helvetica;sans-serif" w:hAnsi="Arial;Helvetica;sans-serif"/>
          <w:sz w:val="20"/>
        </w:rPr>
        <w:t xml:space="preserve"> </w:t>
      </w:r>
      <w:r>
        <w:rPr>
          <w:rFonts w:ascii="Arial;Helvetica;sans-serif" w:hAnsi="Arial;Helvetica;sans-serif"/>
          <w:sz w:val="24"/>
        </w:rPr>
        <w:t>for the 26 weeks ended August 1, 2026 was 43.4% of sales compared to 41.8% of sales for the 26 weeks ended August 2, 2025. Retail gross margin was positively impacted (120 basis points of sales) by the aforementioned $37.2 million IEEPA tariff refunds.</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b/>
          <w:sz w:val="24"/>
        </w:rPr>
      </w:pPr>
      <w:r>
        <w:rPr>
          <w:rFonts w:ascii="Arial;Helvetica;sans-serif" w:hAnsi="Arial;Helvetica;sans-serif"/>
          <w:b/>
          <w:sz w:val="24"/>
        </w:rPr>
        <w:t>Selling, General &amp; Administrative Expenses – 26 Weeks</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sz w:val="24"/>
        </w:rPr>
      </w:pPr>
      <w:r>
        <w:rPr>
          <w:rFonts w:ascii="Arial;Helvetica;sans-serif" w:hAnsi="Arial;Helvetica;sans-serif"/>
          <w:sz w:val="24"/>
        </w:rPr>
        <w:t>Operating expenses for the 26 weeks ended August 1, 2026 were $887.6 million (28.9% of sales) and $855.9 million (28.1% of sales) for the 26 weeks ended August 2, 2025. The increase is largely due to higher payroll and payroll-related expenses.</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b/>
          <w:sz w:val="24"/>
        </w:rPr>
      </w:pPr>
      <w:r>
        <w:rPr>
          <w:rFonts w:ascii="Arial;Helvetica;sans-serif" w:hAnsi="Arial;Helvetica;sans-serif"/>
          <w:b/>
          <w:sz w:val="24"/>
        </w:rPr>
        <w:t>Store Information</w:t>
      </w:r>
    </w:p>
    <w:p>
      <w:pPr>
        <w:pStyle w:val="TextBody"/>
        <w:bidi w:val="0"/>
        <w:spacing w:before="60" w:after="60"/>
        <w:ind w:left="0" w:right="0" w:hanging="0"/>
        <w:jc w:val="left"/>
        <w:rPr/>
      </w:pPr>
      <w:r>
        <w:rPr/>
        <w:t>​</w:t>
      </w:r>
    </w:p>
    <w:p>
      <w:pPr>
        <w:pStyle w:val="TextBody"/>
        <w:bidi w:val="0"/>
        <w:spacing w:before="60" w:after="60"/>
        <w:ind w:left="0" w:right="0" w:hanging="0"/>
        <w:jc w:val="left"/>
        <w:rPr>
          <w:rFonts w:ascii="Arial;Helvetica;sans-serif" w:hAnsi="Arial;Helvetica;sans-serif"/>
          <w:sz w:val="20"/>
        </w:rPr>
      </w:pPr>
      <w:r>
        <w:rPr>
          <w:rFonts w:ascii="Arial;Helvetica;sans-serif" w:hAnsi="Arial;Helvetica;sans-serif"/>
          <w:sz w:val="24"/>
        </w:rPr>
        <w:t xml:space="preserve">The Company operates 272 Dillard’s stores, including 28 clearance centers, spanning 30 states (totaling 46.1 million square feet) and an Internet store at </w:t>
      </w:r>
      <w:r>
        <w:rPr>
          <w:rFonts w:ascii="Arial;Helvetica;sans-serif" w:hAnsi="Arial;Helvetica;sans-serif"/>
          <w:sz w:val="24"/>
          <w:u w:val="single"/>
        </w:rPr>
        <w:t>dillards.com.</w:t>
      </w:r>
      <w:r>
        <w:rPr>
          <w:rFonts w:ascii="Arial;Helvetica;sans-serif" w:hAnsi="Arial;Helvetica;sans-serif"/>
          <w:sz w:val="20"/>
        </w:rPr>
        <w:t xml:space="preserve"> </w:t>
      </w:r>
    </w:p>
    <w:p>
      <w:pPr>
        <w:pStyle w:val="TextBody"/>
        <w:bidi w:val="0"/>
        <w:spacing w:before="60" w:after="60"/>
        <w:ind w:left="0" w:right="0" w:hanging="0"/>
        <w:jc w:val="left"/>
        <w:rPr/>
      </w:pPr>
      <w:r>
        <w:rPr/>
        <w:t>​</w:t>
      </w:r>
    </w:p>
    <w:p>
      <w:pPr>
        <w:pStyle w:val="TextBody"/>
        <w:bidi w:val="0"/>
        <w:spacing w:before="60" w:after="60"/>
        <w:ind w:left="0" w:right="0" w:hanging="0"/>
        <w:jc w:val="left"/>
        <w:rPr/>
      </w:pPr>
      <w:r>
        <w:rPr/>
        <w:t>​</w:t>
      </w:r>
    </w:p>
    <w:p>
      <w:pPr>
        <w:pStyle w:val="TextBody"/>
        <w:bidi w:val="0"/>
        <w:spacing w:before="60" w:after="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30"/>
        <w:ind w:left="53" w:right="0" w:hanging="0"/>
        <w:jc w:val="center"/>
        <w:rPr>
          <w:rFonts w:ascii="Arial;Helvetica;sans-serif" w:hAnsi="Arial;Helvetica;sans-serif"/>
          <w:sz w:val="24"/>
        </w:rPr>
      </w:pPr>
      <w:r>
        <w:rPr>
          <w:rFonts w:ascii="Arial;Helvetica;sans-serif" w:hAnsi="Arial;Helvetica;sans-serif"/>
          <w:sz w:val="24"/>
        </w:rPr>
        <w:t>Dillard’s, Inc. and Subsidiaries</w:t>
      </w:r>
    </w:p>
    <w:p>
      <w:pPr>
        <w:pStyle w:val="TextBody"/>
        <w:bidi w:val="0"/>
        <w:spacing w:before="0" w:after="30"/>
        <w:ind w:left="53" w:right="0" w:hanging="0"/>
        <w:jc w:val="center"/>
        <w:rPr>
          <w:rFonts w:ascii="Arial;Helvetica;sans-serif" w:hAnsi="Arial;Helvetica;sans-serif"/>
          <w:sz w:val="24"/>
        </w:rPr>
      </w:pPr>
      <w:r>
        <w:rPr>
          <w:rFonts w:ascii="Arial;Helvetica;sans-serif" w:hAnsi="Arial;Helvetica;sans-serif"/>
          <w:sz w:val="24"/>
        </w:rPr>
        <w:t>Condensed Consolidated Statements of Income (Unaudited)</w:t>
      </w:r>
    </w:p>
    <w:p>
      <w:pPr>
        <w:pStyle w:val="TextBody"/>
        <w:bidi w:val="0"/>
        <w:spacing w:before="0" w:after="30"/>
        <w:ind w:left="53" w:right="0" w:hanging="0"/>
        <w:jc w:val="center"/>
        <w:rPr>
          <w:rFonts w:ascii="Arial;Helvetica;sans-serif" w:hAnsi="Arial;Helvetica;sans-serif"/>
          <w:sz w:val="24"/>
        </w:rPr>
      </w:pPr>
      <w:r>
        <w:rPr>
          <w:rFonts w:ascii="Arial;Helvetica;sans-serif" w:hAnsi="Arial;Helvetica;sans-serif"/>
          <w:sz w:val="24"/>
        </w:rPr>
        <w:t>(In Millions, Except Per Share Data)</w:t>
      </w:r>
    </w:p>
    <w:p>
      <w:pPr>
        <w:pStyle w:val="TextBody"/>
        <w:bidi w:val="0"/>
        <w:spacing w:before="0" w:after="0"/>
        <w:ind w:left="0" w:right="0" w:hanging="0"/>
        <w:jc w:val="left"/>
        <w:rPr/>
      </w:pPr>
      <w:r>
        <w:rPr/>
        <w:t>​</w:t>
      </w:r>
    </w:p>
    <w:tbl>
      <w:tblPr>
        <w:tblW w:w="10807" w:type="dxa"/>
        <w:jc w:val="left"/>
        <w:tblInd w:w="0" w:type="dxa"/>
        <w:tblLayout w:type="fixed"/>
        <w:tblCellMar>
          <w:top w:w="0" w:type="dxa"/>
          <w:left w:w="0" w:type="dxa"/>
          <w:bottom w:w="0" w:type="dxa"/>
          <w:right w:w="0" w:type="dxa"/>
        </w:tblCellMar>
      </w:tblPr>
      <w:tblGrid>
        <w:gridCol w:w="1336"/>
        <w:gridCol w:w="346"/>
        <w:gridCol w:w="211"/>
        <w:gridCol w:w="751"/>
        <w:gridCol w:w="346"/>
        <w:gridCol w:w="586"/>
        <w:gridCol w:w="406"/>
        <w:gridCol w:w="211"/>
        <w:gridCol w:w="751"/>
        <w:gridCol w:w="346"/>
        <w:gridCol w:w="586"/>
        <w:gridCol w:w="406"/>
        <w:gridCol w:w="211"/>
        <w:gridCol w:w="751"/>
        <w:gridCol w:w="346"/>
        <w:gridCol w:w="586"/>
        <w:gridCol w:w="406"/>
        <w:gridCol w:w="211"/>
        <w:gridCol w:w="751"/>
        <w:gridCol w:w="346"/>
        <w:gridCol w:w="586"/>
        <w:gridCol w:w="331"/>
      </w:tblGrid>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76885" cy="175260"/>
                      <wp:effectExtent l="0" t="0" r="0" b="0"/>
                      <wp:wrapNone/>
                      <wp:docPr id="21" name="Frame2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72110" cy="175260"/>
                      <wp:effectExtent l="0" t="0" r="0" b="0"/>
                      <wp:wrapNone/>
                      <wp:docPr id="23" name="Frame2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57810" cy="175260"/>
                      <wp:effectExtent l="0" t="0" r="0" b="0"/>
                      <wp:wrapNone/>
                      <wp:docPr id="24" name="Frame2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76885" cy="175260"/>
                      <wp:effectExtent l="0" t="0" r="0" b="0"/>
                      <wp:wrapNone/>
                      <wp:docPr id="26" name="Frame2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72110" cy="175260"/>
                      <wp:effectExtent l="0" t="0" r="0" b="0"/>
                      <wp:wrapNone/>
                      <wp:docPr id="28" name="Frame2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57810" cy="175260"/>
                      <wp:effectExtent l="0" t="0" r="0" b="0"/>
                      <wp:wrapNone/>
                      <wp:docPr id="29" name="Frame2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76885" cy="175260"/>
                      <wp:effectExtent l="0" t="0" r="0" b="0"/>
                      <wp:wrapNone/>
                      <wp:docPr id="31" name="Frame3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72110" cy="175260"/>
                      <wp:effectExtent l="0" t="0" r="0" b="0"/>
                      <wp:wrapNone/>
                      <wp:docPr id="33" name="Frame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57810" cy="175260"/>
                      <wp:effectExtent l="0" t="0" r="0" b="0"/>
                      <wp:wrapNone/>
                      <wp:docPr id="34" name="Frame3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76885" cy="175260"/>
                      <wp:effectExtent l="0" t="0" r="0" b="0"/>
                      <wp:wrapNone/>
                      <wp:docPr id="36" name="Frame3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72110" cy="175260"/>
                      <wp:effectExtent l="0" t="0" r="0" b="0"/>
                      <wp:wrapNone/>
                      <wp:docPr id="38" name="Frame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0185" cy="175260"/>
                      <wp:effectExtent l="0" t="0" r="0" b="0"/>
                      <wp:wrapNone/>
                      <wp:docPr id="39" name="Frame3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9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13 Weeks Ended</w:t>
            </w:r>
          </w:p>
        </w:tc>
        <w:tc>
          <w:tcPr>
            <w:tcW w:w="406" w:type="dxa"/>
            <w:tcBorders/>
            <w:vAlign w:val="center"/>
          </w:tcPr>
          <w:p>
            <w:pPr>
              <w:pStyle w:val="TableContents"/>
              <w:bidi w:val="0"/>
              <w:spacing w:before="0" w:after="0"/>
              <w:ind w:left="0" w:right="0" w:hanging="0"/>
              <w:jc w:val="left"/>
              <w:rPr/>
            </w:pPr>
            <w:r>
              <w:rPr/>
              <w:t>​</w:t>
            </w:r>
          </w:p>
        </w:tc>
        <w:tc>
          <w:tcPr>
            <w:tcW w:w="419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26 Weeks Ended</w:t>
            </w:r>
          </w:p>
        </w:tc>
        <w:tc>
          <w:tcPr>
            <w:tcW w:w="331" w:type="dxa"/>
            <w:tcBorders/>
            <w:vAlign w:val="center"/>
          </w:tcPr>
          <w:p>
            <w:pPr>
              <w:pStyle w:val="TableContents"/>
              <w:bidi w:val="0"/>
              <w:spacing w:before="0" w:after="0"/>
              <w:ind w:left="0" w:right="0" w:hanging="0"/>
              <w:jc w:val="center"/>
              <w:rPr/>
            </w:pPr>
            <w:r>
              <w:rPr/>
              <w:t> </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August 1, 2026</w:t>
            </w:r>
          </w:p>
        </w:tc>
        <w:tc>
          <w:tcPr>
            <w:tcW w:w="406" w:type="dxa"/>
            <w:tcBorders/>
            <w:vAlign w:val="center"/>
          </w:tcPr>
          <w:p>
            <w:pPr>
              <w:pStyle w:val="TableContents"/>
              <w:bidi w:val="0"/>
              <w:spacing w:before="0" w:after="0"/>
              <w:ind w:left="0" w:right="0" w:hanging="0"/>
              <w:jc w:val="left"/>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August 2, 2025</w:t>
            </w:r>
          </w:p>
        </w:tc>
        <w:tc>
          <w:tcPr>
            <w:tcW w:w="406" w:type="dxa"/>
            <w:tcBorders/>
            <w:vAlign w:val="center"/>
          </w:tcPr>
          <w:p>
            <w:pPr>
              <w:pStyle w:val="TableContents"/>
              <w:bidi w:val="0"/>
              <w:spacing w:before="0" w:after="0"/>
              <w:ind w:left="0" w:right="0" w:hanging="0"/>
              <w:jc w:val="left"/>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August 1, 2026</w:t>
            </w:r>
          </w:p>
        </w:tc>
        <w:tc>
          <w:tcPr>
            <w:tcW w:w="406" w:type="dxa"/>
            <w:tcBorders/>
            <w:vAlign w:val="center"/>
          </w:tcPr>
          <w:p>
            <w:pPr>
              <w:pStyle w:val="TableContents"/>
              <w:bidi w:val="0"/>
              <w:spacing w:before="0" w:after="0"/>
              <w:ind w:left="0" w:right="0" w:hanging="0"/>
              <w:jc w:val="left"/>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August 2, 2025</w:t>
            </w:r>
          </w:p>
        </w:tc>
        <w:tc>
          <w:tcPr>
            <w:tcW w:w="331" w:type="dxa"/>
            <w:tcBorders/>
            <w:vAlign w:val="center"/>
          </w:tcPr>
          <w:p>
            <w:pPr>
              <w:pStyle w:val="TableContents"/>
              <w:bidi w:val="0"/>
              <w:spacing w:before="0" w:after="0"/>
              <w:ind w:left="0" w:right="0" w:hanging="0"/>
              <w:jc w:val="center"/>
              <w:rPr/>
            </w:pPr>
            <w:r>
              <w:rPr/>
              <w:t> </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of</w:t>
            </w:r>
          </w:p>
        </w:tc>
        <w:tc>
          <w:tcPr>
            <w:tcW w:w="40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of</w:t>
            </w:r>
          </w:p>
        </w:tc>
        <w:tc>
          <w:tcPr>
            <w:tcW w:w="40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of</w:t>
            </w:r>
          </w:p>
        </w:tc>
        <w:tc>
          <w:tcPr>
            <w:tcW w:w="40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Net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Net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Net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Net</w:t>
            </w:r>
          </w:p>
        </w:tc>
        <w:tc>
          <w:tcPr>
            <w:tcW w:w="331" w:type="dxa"/>
            <w:tcBorders/>
            <w:vAlign w:val="center"/>
          </w:tcPr>
          <w:p>
            <w:pPr>
              <w:pStyle w:val="TableContents"/>
              <w:bidi w:val="0"/>
              <w:spacing w:before="0" w:after="0"/>
              <w:ind w:left="0" w:right="0" w:hanging="0"/>
              <w:jc w:val="center"/>
              <w:rPr/>
            </w:pPr>
            <w:r>
              <w:rPr/>
              <w:t> </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Amount</w:t>
            </w:r>
          </w:p>
        </w:tc>
        <w:tc>
          <w:tcPr>
            <w:tcW w:w="34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Sales</w:t>
            </w:r>
          </w:p>
        </w:tc>
        <w:tc>
          <w:tcPr>
            <w:tcW w:w="406" w:type="dxa"/>
            <w:tcBorders/>
            <w:vAlign w:val="center"/>
          </w:tcPr>
          <w:p>
            <w:pPr>
              <w:pStyle w:val="TableContents"/>
              <w:bidi w:val="0"/>
              <w:spacing w:before="0" w:after="0"/>
              <w:ind w:left="0" w:right="0" w:hanging="0"/>
              <w:jc w:val="left"/>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Amount</w:t>
            </w:r>
          </w:p>
        </w:tc>
        <w:tc>
          <w:tcPr>
            <w:tcW w:w="34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Sales</w:t>
            </w:r>
          </w:p>
        </w:tc>
        <w:tc>
          <w:tcPr>
            <w:tcW w:w="406" w:type="dxa"/>
            <w:tcBorders/>
            <w:vAlign w:val="center"/>
          </w:tcPr>
          <w:p>
            <w:pPr>
              <w:pStyle w:val="TableContents"/>
              <w:bidi w:val="0"/>
              <w:spacing w:before="0" w:after="0"/>
              <w:ind w:left="0" w:right="0" w:hanging="0"/>
              <w:jc w:val="left"/>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Amount</w:t>
            </w:r>
          </w:p>
        </w:tc>
        <w:tc>
          <w:tcPr>
            <w:tcW w:w="34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Sales</w:t>
            </w:r>
          </w:p>
        </w:tc>
        <w:tc>
          <w:tcPr>
            <w:tcW w:w="406" w:type="dxa"/>
            <w:tcBorders/>
            <w:vAlign w:val="center"/>
          </w:tcPr>
          <w:p>
            <w:pPr>
              <w:pStyle w:val="TableContents"/>
              <w:bidi w:val="0"/>
              <w:spacing w:before="0" w:after="0"/>
              <w:ind w:left="0" w:right="0" w:hanging="0"/>
              <w:jc w:val="left"/>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Amount</w:t>
            </w:r>
          </w:p>
        </w:tc>
        <w:tc>
          <w:tcPr>
            <w:tcW w:w="34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Sales</w:t>
            </w:r>
          </w:p>
        </w:tc>
        <w:tc>
          <w:tcPr>
            <w:tcW w:w="331" w:type="dxa"/>
            <w:tcBorders/>
            <w:vAlign w:val="center"/>
          </w:tcPr>
          <w:p>
            <w:pPr>
              <w:pStyle w:val="TableContents"/>
              <w:bidi w:val="0"/>
              <w:spacing w:before="0" w:after="0"/>
              <w:ind w:left="0" w:right="0" w:hanging="0"/>
              <w:jc w:val="center"/>
              <w:rPr/>
            </w:pPr>
            <w:r>
              <w:rPr/>
              <w:t> </w:t>
            </w:r>
          </w:p>
        </w:tc>
      </w:tr>
      <w:tr>
        <w:trPr/>
        <w:tc>
          <w:tcPr>
            <w:tcW w:w="13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1,507.6</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1,513.8</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3,076.0</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3,042.7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3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Service charges and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43.1</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40.3</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c>
          <w:tcPr>
            <w:tcW w:w="33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1,530.4</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1,536.0</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3,119.1</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3,083.0</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101.3</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909.3</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959.3</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1,779.7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1,817.0</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59.7</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443.6</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29.4</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434.2</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28.7</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887.6</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28.9</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855.9</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28.1</w:t>
            </w:r>
          </w:p>
        </w:tc>
        <w:tc>
          <w:tcPr>
            <w:tcW w:w="33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44.4</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89.1</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Rentals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33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and debt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w:t>
            </w:r>
          </w:p>
        </w:tc>
        <w:tc>
          <w:tcPr>
            <w:tcW w:w="33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on litigation settlement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on disposal of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w:t>
            </w:r>
          </w:p>
        </w:tc>
        <w:tc>
          <w:tcPr>
            <w:tcW w:w="33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before income taxes and equity in earnings of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127.1</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94.6</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454.2</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308.3</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106.6</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71.6</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Equity in earnings of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97.7</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72.8</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348.2</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236.7</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 and diluted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6.25</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4.66</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22.30</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15.08</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 and diluted weighted 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30"/>
        <w:ind w:left="53" w:right="0" w:hanging="0"/>
        <w:jc w:val="center"/>
        <w:rPr>
          <w:rFonts w:ascii="Arial;Helvetica;sans-serif" w:hAnsi="Arial;Helvetica;sans-serif"/>
          <w:sz w:val="24"/>
        </w:rPr>
      </w:pPr>
      <w:r>
        <w:rPr>
          <w:rFonts w:ascii="Arial;Helvetica;sans-serif" w:hAnsi="Arial;Helvetica;sans-serif"/>
          <w:sz w:val="24"/>
        </w:rPr>
        <w:t>Dillard’s, Inc. and Subsidiaries</w:t>
      </w:r>
    </w:p>
    <w:p>
      <w:pPr>
        <w:pStyle w:val="TextBody"/>
        <w:bidi w:val="0"/>
        <w:spacing w:before="0" w:after="30"/>
        <w:ind w:left="53" w:right="0" w:hanging="0"/>
        <w:jc w:val="center"/>
        <w:rPr>
          <w:rFonts w:ascii="Arial;Helvetica;sans-serif" w:hAnsi="Arial;Helvetica;sans-serif"/>
          <w:sz w:val="24"/>
        </w:rPr>
      </w:pPr>
      <w:r>
        <w:rPr>
          <w:rFonts w:ascii="Arial;Helvetica;sans-serif" w:hAnsi="Arial;Helvetica;sans-serif"/>
          <w:sz w:val="24"/>
        </w:rPr>
        <w:t>Condensed Consolidated Balance Sheets (Unaudited)</w:t>
      </w:r>
    </w:p>
    <w:p>
      <w:pPr>
        <w:pStyle w:val="TextBody"/>
        <w:bidi w:val="0"/>
        <w:spacing w:before="0" w:after="30"/>
        <w:ind w:left="53" w:right="0" w:hanging="0"/>
        <w:jc w:val="center"/>
        <w:rPr>
          <w:rFonts w:ascii="Arial;Helvetica;sans-serif" w:hAnsi="Arial;Helvetica;sans-serif"/>
          <w:sz w:val="24"/>
        </w:rPr>
      </w:pPr>
      <w:r>
        <w:rPr>
          <w:rFonts w:ascii="Arial;Helvetica;sans-serif" w:hAnsi="Arial;Helvetica;sans-serif"/>
          <w:sz w:val="24"/>
        </w:rPr>
        <w:t>(In Millions)</w:t>
      </w:r>
    </w:p>
    <w:p>
      <w:pPr>
        <w:pStyle w:val="TextBody"/>
        <w:bidi w:val="0"/>
        <w:spacing w:before="0" w:after="0"/>
        <w:ind w:left="0" w:right="0" w:hanging="0"/>
        <w:jc w:val="left"/>
        <w:rPr/>
      </w:pPr>
      <w:r>
        <w:rPr/>
        <w:t>​</w:t>
      </w:r>
    </w:p>
    <w:tbl>
      <w:tblPr>
        <w:tblW w:w="6952" w:type="dxa"/>
        <w:jc w:val="left"/>
        <w:tblInd w:w="0" w:type="dxa"/>
        <w:tblLayout w:type="fixed"/>
        <w:tblCellMar>
          <w:top w:w="0" w:type="dxa"/>
          <w:left w:w="0" w:type="dxa"/>
          <w:bottom w:w="0" w:type="dxa"/>
          <w:right w:w="0" w:type="dxa"/>
        </w:tblCellMar>
      </w:tblPr>
      <w:tblGrid>
        <w:gridCol w:w="4231"/>
        <w:gridCol w:w="346"/>
        <w:gridCol w:w="211"/>
        <w:gridCol w:w="751"/>
        <w:gridCol w:w="346"/>
        <w:gridCol w:w="211"/>
        <w:gridCol w:w="856"/>
      </w:tblGrid>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76885" cy="175260"/>
                      <wp:effectExtent l="0" t="0" r="0" b="0"/>
                      <wp:wrapNone/>
                      <wp:docPr id="42" name="Frame4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43560" cy="175260"/>
                      <wp:effectExtent l="0" t="0" r="0" b="0"/>
                      <wp:wrapNone/>
                      <wp:docPr id="45" name="Frame4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62"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August 1,</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August 2,</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2026</w:t>
            </w:r>
          </w:p>
        </w:tc>
        <w:tc>
          <w:tcPr>
            <w:tcW w:w="346" w:type="dxa"/>
            <w:tcBorders/>
            <w:vAlign w:val="center"/>
          </w:tcPr>
          <w:p>
            <w:pPr>
              <w:pStyle w:val="TableContents"/>
              <w:bidi w:val="0"/>
              <w:spacing w:before="0" w:after="0"/>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  ​</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1,012.0</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52.2</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199.8</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Merchandise inventories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1,219.8</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Federal and state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88.3</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2,572.1</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955.1</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67.7</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60.1</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3,749.9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3,684.5</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Trade 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761.2</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96.0</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portion of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Federal and state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91.0</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958.7</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225.6</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19.1</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362.0</w:t>
            </w:r>
          </w:p>
        </w:tc>
      </w:tr>
      <w:tr>
        <w:trPr/>
        <w:tc>
          <w:tcPr>
            <w:tcW w:w="4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Subordinated debentures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200.0</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1,919.1</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3,749.9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3,684.5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30"/>
        <w:ind w:left="53" w:right="0" w:hanging="0"/>
        <w:jc w:val="center"/>
        <w:rPr>
          <w:rFonts w:ascii="Arial;Helvetica;sans-serif" w:hAnsi="Arial;Helvetica;sans-serif"/>
          <w:sz w:val="24"/>
        </w:rPr>
      </w:pPr>
      <w:r>
        <w:rPr>
          <w:rFonts w:ascii="Arial;Helvetica;sans-serif" w:hAnsi="Arial;Helvetica;sans-serif"/>
          <w:sz w:val="24"/>
        </w:rPr>
        <w:t>Dillard’s, Inc. and Subsidiaries</w:t>
      </w:r>
    </w:p>
    <w:p>
      <w:pPr>
        <w:pStyle w:val="TextBody"/>
        <w:bidi w:val="0"/>
        <w:spacing w:before="0" w:after="30"/>
        <w:ind w:left="53" w:right="0" w:hanging="0"/>
        <w:jc w:val="center"/>
        <w:rPr>
          <w:rFonts w:ascii="Arial;Helvetica;sans-serif" w:hAnsi="Arial;Helvetica;sans-serif"/>
          <w:sz w:val="24"/>
        </w:rPr>
      </w:pPr>
      <w:r>
        <w:rPr>
          <w:rFonts w:ascii="Arial;Helvetica;sans-serif" w:hAnsi="Arial;Helvetica;sans-serif"/>
          <w:sz w:val="24"/>
        </w:rPr>
        <w:t>Condensed Consolidated Statements of Cash Flows (Unaudited)</w:t>
      </w:r>
    </w:p>
    <w:p>
      <w:pPr>
        <w:pStyle w:val="TextBody"/>
        <w:bidi w:val="0"/>
        <w:spacing w:before="0" w:after="30"/>
        <w:ind w:left="53" w:right="0" w:hanging="0"/>
        <w:jc w:val="center"/>
        <w:rPr>
          <w:rFonts w:ascii="Arial;Helvetica;sans-serif" w:hAnsi="Arial;Helvetica;sans-serif"/>
          <w:sz w:val="24"/>
        </w:rPr>
      </w:pPr>
      <w:r>
        <w:rPr>
          <w:rFonts w:ascii="Arial;Helvetica;sans-serif" w:hAnsi="Arial;Helvetica;sans-serif"/>
          <w:sz w:val="24"/>
        </w:rPr>
        <w:t>(In Millions)</w:t>
      </w:r>
    </w:p>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7591"/>
        <w:gridCol w:w="346"/>
        <w:gridCol w:w="211"/>
        <w:gridCol w:w="703"/>
        <w:gridCol w:w="346"/>
        <w:gridCol w:w="211"/>
        <w:gridCol w:w="797"/>
      </w:tblGrid>
      <w:tr>
        <w:trPr/>
        <w:tc>
          <w:tcPr>
            <w:tcW w:w="7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46405" cy="175260"/>
                      <wp:effectExtent l="0" t="0" r="0" b="0"/>
                      <wp:wrapNone/>
                      <wp:docPr id="48" name="Frame4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06095" cy="175260"/>
                      <wp:effectExtent l="0" t="0" r="0" b="0"/>
                      <wp:wrapNone/>
                      <wp:docPr id="51" name="Frame51"/>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26 Weeks Ended</w:t>
            </w:r>
          </w:p>
        </w:tc>
      </w:tr>
      <w:tr>
        <w:trPr/>
        <w:tc>
          <w:tcPr>
            <w:tcW w:w="7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4"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August 1,</w:t>
            </w:r>
          </w:p>
        </w:tc>
        <w:tc>
          <w:tcPr>
            <w:tcW w:w="346" w:type="dxa"/>
            <w:tcBorders/>
            <w:vAlign w:val="center"/>
          </w:tcPr>
          <w:p>
            <w:pPr>
              <w:pStyle w:val="TableContents"/>
              <w:bidi w:val="0"/>
              <w:spacing w:before="0" w:after="0"/>
              <w:ind w:left="0" w:right="0" w:hanging="0"/>
              <w:jc w:val="center"/>
              <w:rPr/>
            </w:pPr>
            <w:r>
              <w:rPr/>
              <w:t>  ​ ​ ​</w:t>
            </w:r>
          </w:p>
        </w:tc>
        <w:tc>
          <w:tcPr>
            <w:tcW w:w="1008"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August 2,</w:t>
            </w:r>
          </w:p>
        </w:tc>
      </w:tr>
      <w:tr>
        <w:trPr/>
        <w:tc>
          <w:tcPr>
            <w:tcW w:w="7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2026</w:t>
            </w:r>
          </w:p>
        </w:tc>
        <w:tc>
          <w:tcPr>
            <w:tcW w:w="346" w:type="dxa"/>
            <w:tcBorders/>
            <w:vAlign w:val="center"/>
          </w:tcPr>
          <w:p>
            <w:pPr>
              <w:pStyle w:val="TableContents"/>
              <w:bidi w:val="0"/>
              <w:spacing w:before="0" w:after="0"/>
              <w:ind w:left="0" w:right="0" w:hanging="0"/>
              <w:jc w:val="center"/>
              <w:rPr/>
            </w:pPr>
            <w:r>
              <w:rPr/>
              <w:t>​</w:t>
            </w:r>
          </w:p>
        </w:tc>
        <w:tc>
          <w:tcPr>
            <w:tcW w:w="10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  ​</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236.7</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pPr>
            <w:r>
              <w:rPr/>
              <w:t>  ​</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 of property and other deferred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89.9</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on disposal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interest on 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pPr>
            <w:r>
              <w:rPr/>
              <w:t>  ​</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(Increase) decrease in accounts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Increase in merchandise 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(Increase) decrease in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(Increase) decrease in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Increase (decrease) in trade accounts payable and 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(Decrease) increase in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63.6</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319.4</w:t>
            </w:r>
          </w:p>
        </w:tc>
      </w:tr>
      <w:tr>
        <w:trPr/>
        <w:tc>
          <w:tcPr>
            <w:tcW w:w="7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left"/>
              <w:rPr/>
            </w:pPr>
            <w:r>
              <w:rPr/>
              <w:t>​</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  ​</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 of property and equipment and capitalized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(43.5)</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disposal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Investment in joint venture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 of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(273.5)</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maturities of 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405.0</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93.7</w:t>
            </w:r>
          </w:p>
        </w:tc>
      </w:tr>
      <w:tr>
        <w:trPr/>
        <w:tc>
          <w:tcPr>
            <w:tcW w:w="7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pPr>
            <w:r>
              <w:rPr/>
              <w:t>  ​</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payments on 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dividends paid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 of treasury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(107.8)</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Issuance cost of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(119.0)</w:t>
            </w:r>
          </w:p>
        </w:tc>
      </w:tr>
      <w:tr>
        <w:trPr/>
        <w:tc>
          <w:tcPr>
            <w:tcW w:w="7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left"/>
              <w:rPr/>
            </w:pPr>
            <w:r>
              <w:rPr/>
              <w:t>​</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(Decrease)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294.1</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717.9</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1,012.0</w:t>
            </w:r>
          </w:p>
        </w:tc>
      </w:tr>
      <w:tr>
        <w:trPr/>
        <w:tc>
          <w:tcPr>
            <w:tcW w:w="7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left"/>
              <w:rPr/>
            </w:pPr>
            <w:r>
              <w:rPr/>
              <w:t>​</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Non-cash transactions: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  ​</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purchase of treasury stock and excise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r>
      <w:tr>
        <w:trPr/>
        <w:tc>
          <w:tcPr>
            <w:tcW w:w="7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 awards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r>
      <w:tr>
        <w:trPr/>
        <w:tc>
          <w:tcPr>
            <w:tcW w:w="75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Lease assets obtained in exchange for new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left"/>
        <w:rPr>
          <w:rFonts w:ascii="Arial;Helvetica;sans-serif" w:hAnsi="Arial;Helvetica;sans-serif"/>
          <w:b/>
          <w:sz w:val="24"/>
        </w:rPr>
      </w:pPr>
      <w:r>
        <w:rPr>
          <w:rFonts w:ascii="Arial;Helvetica;sans-serif" w:hAnsi="Arial;Helvetica;sans-serif"/>
          <w:b/>
          <w:sz w:val="24"/>
        </w:rPr>
        <w:t>Estimates for 2026</w:t>
      </w:r>
    </w:p>
    <w:p>
      <w:pPr>
        <w:pStyle w:val="TextBody"/>
        <w:bidi w:val="0"/>
        <w:spacing w:before="0" w:after="0"/>
        <w:ind w:left="0" w:right="0" w:hanging="0"/>
        <w:jc w:val="left"/>
        <w:rPr>
          <w:rFonts w:ascii="Arial;Helvetica;sans-serif" w:hAnsi="Arial;Helvetica;sans-serif"/>
          <w:sz w:val="24"/>
        </w:rPr>
      </w:pPr>
      <w:r>
        <w:rPr>
          <w:rFonts w:ascii="Arial;Helvetica;sans-serif" w:hAnsi="Arial;Helvetica;sans-serif"/>
          <w:sz w:val="24"/>
        </w:rPr>
        <w:t>The Company is providing the following estimates for certain financial statement items for the 52-week period ending January 30, 2027 based upon current conditions. Actual results may differ significantly from these estimates as conditions and factors change - See “Forward-Looking Information.”</w:t>
      </w:r>
    </w:p>
    <w:p>
      <w:pPr>
        <w:pStyle w:val="TextBody"/>
        <w:bidi w:val="0"/>
        <w:spacing w:before="0" w:after="0"/>
        <w:ind w:left="0" w:right="0" w:hanging="0"/>
        <w:jc w:val="left"/>
        <w:rPr/>
      </w:pPr>
      <w:r>
        <w:rPr/>
        <w:t>​</w:t>
      </w:r>
    </w:p>
    <w:tbl>
      <w:tblPr>
        <w:tblW w:w="5781" w:type="dxa"/>
        <w:jc w:val="left"/>
        <w:tblInd w:w="0" w:type="dxa"/>
        <w:tblLayout w:type="fixed"/>
        <w:tblCellMar>
          <w:top w:w="0" w:type="dxa"/>
          <w:left w:w="0" w:type="dxa"/>
          <w:bottom w:w="0" w:type="dxa"/>
          <w:right w:w="0" w:type="dxa"/>
        </w:tblCellMar>
      </w:tblPr>
      <w:tblGrid>
        <w:gridCol w:w="3586"/>
        <w:gridCol w:w="346"/>
        <w:gridCol w:w="275"/>
        <w:gridCol w:w="551"/>
        <w:gridCol w:w="346"/>
        <w:gridCol w:w="211"/>
        <w:gridCol w:w="466"/>
      </w:tblGrid>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74625" cy="175260"/>
                      <wp:effectExtent l="0" t="0" r="0" b="0"/>
                      <wp:wrapNone/>
                      <wp:docPr id="53" name="Frame53"/>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49885" cy="175260"/>
                      <wp:effectExtent l="0" t="0" r="0" b="0"/>
                      <wp:wrapNone/>
                      <wp:docPr id="54" name="Frame54"/>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95910" cy="175260"/>
                      <wp:effectExtent l="0" t="0" r="0" b="0"/>
                      <wp:wrapNone/>
                      <wp:docPr id="57" name="Frame5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Millions</w: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2026</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Estimated</w:t>
            </w:r>
          </w:p>
        </w:tc>
        <w:tc>
          <w:tcPr>
            <w:tcW w:w="346" w:type="dxa"/>
            <w:tcBorders/>
            <w:vAlign w:val="center"/>
          </w:tcPr>
          <w:p>
            <w:pPr>
              <w:pStyle w:val="TableContents"/>
              <w:bidi w:val="0"/>
              <w:spacing w:before="0" w:after="0"/>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Actual</w:t>
            </w:r>
          </w:p>
        </w:tc>
      </w:tr>
      <w:tr>
        <w:trPr/>
        <w:tc>
          <w:tcPr>
            <w:tcW w:w="35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w:t>
            </w:r>
          </w:p>
        </w:tc>
      </w:tr>
      <w:tr>
        <w:trPr/>
        <w:tc>
          <w:tcPr>
            <w:tcW w:w="35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Rentals</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r>
      <w:tr>
        <w:trPr/>
        <w:tc>
          <w:tcPr>
            <w:tcW w:w="35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and debt (income) expense, net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35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93</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Arial;Helvetica;sans-serif" w:hAnsi="Arial;Helvetica;sans-serif"/>
          <w:b/>
          <w:sz w:val="24"/>
        </w:rPr>
      </w:pPr>
      <w:bookmarkStart w:id="41" w:name="_Hlk174373344"/>
      <w:bookmarkEnd w:id="41"/>
      <w:r>
        <w:rPr>
          <w:rFonts w:ascii="Arial;Helvetica;sans-serif" w:hAnsi="Arial;Helvetica;sans-serif"/>
          <w:b/>
          <w:sz w:val="24"/>
        </w:rPr>
        <w:t>Forward-Looking Information</w:t>
      </w:r>
    </w:p>
    <w:p>
      <w:pPr>
        <w:pStyle w:val="TextBody"/>
        <w:bidi w:val="0"/>
        <w:spacing w:before="0" w:after="0"/>
        <w:ind w:left="0" w:right="0" w:hanging="0"/>
        <w:jc w:val="left"/>
        <w:rPr>
          <w:rFonts w:ascii="Arial;Helvetica;sans-serif" w:hAnsi="Arial;Helvetica;sans-serif"/>
          <w:sz w:val="24"/>
        </w:rPr>
      </w:pPr>
      <w:r>
        <w:rPr>
          <w:rFonts w:ascii="Arial;Helvetica;sans-serif" w:hAnsi="Arial;Helvetica;sans-serif"/>
          <w:sz w:val="24"/>
        </w:rPr>
        <w:t xml:space="preserve">This report contains certain forward-looking statements. The following are or may constitute forward-looking statements within the meaning of the Private Securities Litigation Reform Act of 1995: (a) statements including words such as “may,” “will,” “could,” “should,” “believe,” “expect,” “future,” “potential,” “anticipate,” “intend,” “plan,” “estimate,” “continue,” or the negative or other variations thereof; (b) statements regarding matters that are not historical facts; and (c) statements about the Company’s future occurrences, plans and objectives, including those statements under the heading “Estimates for 2026” regarding certain financial statement items for the 52-week period ended January 30, 2027. The Company cautions that forward-looking statements contained in this report are based on estimates, projections, beliefs and assumptions of management and information available to management at the time of such statements and are not guarantees of future performance. The Company disclaims any obligation to update or revise any forward-looking statements based on the occurrence of future events, the receipt of new information or otherwise. Forward-looking statements of the Company involve risks and uncertainties and are subject to change based on various important factors. Actual future performance, outcomes and results may differ materially from those expressed in forward-looking statements made by the Company and its management as a result of a number of risks, uncertainties and assumptions. Representative examples of those factors include (without limitation) general retail industry conditions and macro-economic conditions including inflation, economic recession and changes in traffic at malls and shopping centers; economic and weather conditions for regions in which the Company’s stores are located and the effect of these factors on the buying patterns of the Company’s customers, including the effect of changes in prices and availability of oil and natural gas; the availability of and interest rates on consumer credit; the impact of competitive pressures in the department store industry and other retail channels including specialty, off-price, discount and Internet retailers; changes in the Company’s ability to meet labor needs amid nationwide labor shortages and an intense competition for talent; changes in consumer spending patterns, debt levels and their ability to meet credit obligations; high levels of unemployment; changes in tax legislation; trade disputes and changes in trade policies including the imposition (or threat) of new or increased duties, taxes, tariffs and other charges impacting our products or supply chain; changes in legislation and governmental regulations; adequate and stable availability and pricing of materials, production facilities and labor from which the Company sources its merchandise; changes in operating expenses, including employee wages, commission structures and related benefits; system failures or data security breaches; inability to effectively utilize advancements in technology, including artificial intelligence; possible future acquisitions of store properties from other department store operators; the continued availability of financing in amounts and at the terms necessary to support the Company’s future business; fluctuations in SOFR and other base borrowing rates; potential disruption from terrorist activity and the effect on ongoing consumer confidence; epidemic, pandemic or public health issues and their effects on public health, our supply chain, the health and well-being of our employees and customers and the retail industry in general; potential disruption of international trade and supply chain efficiencies; global conflicts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sz w:val="24"/>
        </w:rPr>
      </w:pPr>
      <w:r>
        <w:rPr>
          <w:rFonts w:ascii="Arial;Helvetica;sans-serif" w:hAnsi="Arial;Helvetica;sans-serif"/>
          <w:sz w:val="24"/>
        </w:rPr>
        <w:t>(including the ongoing conflicts in the Middle East and Ukraine) and the possible impact on consumer spending patterns and other economic and demographic changes of similar or dissimilar nature, and other risks and uncertainties, including those detailed from time to time in our periodic reports filed with the Securities and Exchange Commission, particularly those set forth under the caption “Item 1A, Risk Factors” in the Company’s Annual Report on Form 10-K for the fiscal year ended January 31, 2026.</w:t>
      </w:r>
    </w:p>
    <w:tbl>
      <w:tblPr>
        <w:tblW w:w="3170" w:type="dxa"/>
        <w:jc w:val="center"/>
        <w:tblInd w:w="0" w:type="dxa"/>
        <w:tblLayout w:type="fixed"/>
        <w:tblCellMar>
          <w:top w:w="0" w:type="dxa"/>
          <w:left w:w="0" w:type="dxa"/>
          <w:bottom w:w="0" w:type="dxa"/>
          <w:right w:w="0" w:type="dxa"/>
        </w:tblCellMar>
      </w:tblPr>
      <w:tblGrid>
        <w:gridCol w:w="3016"/>
        <w:gridCol w:w="154"/>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915160" cy="175260"/>
                      <wp:effectExtent l="0" t="0" r="0" b="0"/>
                      <wp:wrapNone/>
                      <wp:docPr id="58" name="Frame58"/>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98425" cy="175260"/>
                      <wp:effectExtent l="0" t="0" r="0" b="0"/>
                      <wp:wrapNone/>
                      <wp:docPr id="59" name="Frame5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4"/>
              </w:rPr>
            </w:pPr>
            <w:r>
              <w:rPr>
                <w:rFonts w:ascii="Arial;Helvetica;sans-serif" w:hAnsi="Arial;Helvetica;sans-serif"/>
                <w:sz w:val="24"/>
              </w:rPr>
              <w:t>CONTACT:</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4"/>
              </w:rPr>
            </w:pPr>
            <w:r>
              <w:rPr>
                <w:rFonts w:ascii="Arial;Helvetica;sans-serif" w:hAnsi="Arial;Helvetica;sans-serif"/>
                <w:sz w:val="24"/>
              </w:rPr>
              <w:t>Dillard’s, Inc.</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4"/>
              </w:rPr>
            </w:pPr>
            <w:r>
              <w:rPr>
                <w:rFonts w:ascii="Arial;Helvetica;sans-serif" w:hAnsi="Arial;Helvetica;sans-serif"/>
                <w:sz w:val="24"/>
              </w:rPr>
              <w:t>Julie J. Guymon</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4"/>
              </w:rPr>
            </w:pPr>
            <w:r>
              <w:rPr>
                <w:rFonts w:ascii="Arial;Helvetica;sans-serif" w:hAnsi="Arial;Helvetica;sans-serif"/>
                <w:sz w:val="24"/>
              </w:rPr>
              <w:t>501-376-5965</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4"/>
              </w:rPr>
            </w:pPr>
            <w:r>
              <w:rPr>
                <w:rFonts w:ascii="Arial;Helvetica;sans-serif" w:hAnsi="Arial;Helvetica;sans-serif"/>
                <w:sz w:val="24"/>
              </w:rPr>
              <w:t>julie.guymon@dillards.com</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2920</Words>
  <Characters>16017</Characters>
  <CharactersWithSpaces>19484</CharactersWithSpaces>
  <Paragraphs>1418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